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rPr>
          <w:rFonts w:ascii="Times New Roman" w:hAnsi="Times New Roman"/>
        </w:rPr>
      </w:pPr>
      <w:bookmarkStart w:id="0" w:name="OLE_LINK24"/>
      <w:bookmarkStart w:id="1" w:name="OLE_LINK34"/>
      <w:bookmarkStart w:id="2" w:name="OLE_LINK12"/>
      <w:bookmarkStart w:id="3" w:name="OLE_LINK33"/>
      <w:bookmarkStart w:id="4" w:name="OLE_LINK13"/>
      <w:r>
        <w:rPr>
          <w:rFonts w:ascii="Times New Roman" w:hAnsi="Times New Roman"/>
          <w:b/>
        </w:rPr>
        <w:t>3GPP TSG RAN WG1 Meeting #102-e                                       R1-2005464</w:t>
      </w:r>
    </w:p>
    <w:p>
      <w:pPr>
        <w:tabs>
          <w:tab w:val="center" w:pos="4536"/>
          <w:tab w:val="right" w:pos="8280"/>
          <w:tab w:val="right" w:pos="9639"/>
        </w:tabs>
        <w:snapToGrid w:val="0"/>
        <w:spacing w:after="0" w:line="240" w:lineRule="auto"/>
        <w:ind w:left="442" w:right="2" w:hanging="442" w:hangingChars="200"/>
        <w:rPr>
          <w:rFonts w:ascii="Times New Roman" w:hAnsi="Times New Roman"/>
          <w:b/>
        </w:rPr>
      </w:pPr>
      <w:r>
        <w:rPr>
          <w:rFonts w:ascii="Times New Roman" w:hAnsi="Times New Roman"/>
          <w:b/>
        </w:rPr>
        <w:t>e-Meeting, August 17</w:t>
      </w:r>
      <w:r>
        <w:rPr>
          <w:rFonts w:ascii="Times New Roman" w:hAnsi="Times New Roman"/>
          <w:b/>
          <w:vertAlign w:val="superscript"/>
        </w:rPr>
        <w:t>th</w:t>
      </w:r>
      <w:r>
        <w:rPr>
          <w:rFonts w:ascii="Times New Roman" w:hAnsi="Times New Roman"/>
          <w:b/>
        </w:rPr>
        <w:t xml:space="preserve"> – August 28</w:t>
      </w:r>
      <w:r>
        <w:rPr>
          <w:rFonts w:ascii="Times New Roman" w:hAnsi="Times New Roman"/>
          <w:b/>
          <w:vertAlign w:val="superscript"/>
        </w:rPr>
        <w:t>th</w:t>
      </w:r>
      <w:r>
        <w:rPr>
          <w:rFonts w:ascii="Times New Roman" w:hAnsi="Times New Roman"/>
          <w:b/>
        </w:rPr>
        <w:t>, 2020</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Source:         ZTE</w:t>
      </w:r>
    </w:p>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 xml:space="preserve">Title:           Discussions on potential </w:t>
      </w:r>
      <w:r>
        <w:rPr>
          <w:rFonts w:hint="eastAsia" w:ascii="Times New Roman" w:hAnsi="Times New Roman" w:eastAsia="宋体"/>
          <w:b/>
        </w:rPr>
        <w:t>NR</w:t>
      </w:r>
      <w:r>
        <w:rPr>
          <w:rFonts w:ascii="Times New Roman" w:hAnsi="Times New Roman" w:eastAsia="宋体"/>
          <w:b/>
        </w:rPr>
        <w:t xml:space="preserve"> positioning enhancements</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rPr>
      </w:pPr>
      <w:r>
        <w:rPr>
          <w:rFonts w:ascii="Times New Roman" w:hAnsi="Times New Roman" w:eastAsia="宋体"/>
          <w:b/>
        </w:rPr>
        <w:t>Agenda item:    8.5.3</w:t>
      </w:r>
    </w:p>
    <w:bookmarkEnd w:id="1"/>
    <w:bookmarkEnd w:id="2"/>
    <w:bookmarkEnd w:id="3"/>
    <w:bookmarkEnd w:id="4"/>
    <w:p>
      <w:pPr>
        <w:pBdr>
          <w:bottom w:val="single" w:color="auto" w:sz="6" w:space="1"/>
        </w:pBdr>
        <w:snapToGrid w:val="0"/>
        <w:spacing w:after="0" w:line="240" w:lineRule="auto"/>
        <w:ind w:left="1797" w:hanging="1797"/>
        <w:rPr>
          <w:rFonts w:ascii="Times New Roman" w:hAnsi="Times New Roman" w:eastAsia="宋体"/>
          <w:b/>
        </w:rPr>
      </w:pPr>
      <w:r>
        <w:rPr>
          <w:rFonts w:ascii="Times New Roman" w:hAnsi="Times New Roman"/>
          <w:b/>
        </w:rPr>
        <w:t>Document for:</w:t>
      </w:r>
      <w:r>
        <w:rPr>
          <w:rFonts w:hint="eastAsia" w:ascii="Times New Roman" w:hAnsi="Times New Roman"/>
          <w:b/>
        </w:rPr>
        <w:t xml:space="preserve">   </w:t>
      </w:r>
      <w:r>
        <w:rPr>
          <w:rFonts w:ascii="Times New Roman" w:hAnsi="Times New Roman"/>
          <w:b/>
          <w:lang w:eastAsia="ja-JP"/>
        </w:rPr>
        <w:t>Discussion and Decision</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Introduction</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In 3GPP TSG RAN Meeting #86, a new study item was agreed [1]. The SID provides the exemplary performance targets in the justification of the SI</w:t>
      </w:r>
      <w:r>
        <w:rPr>
          <w:rFonts w:ascii="Times New Roman" w:hAnsi="Times New Roman"/>
          <w:sz w:val="20"/>
          <w:szCs w:val="20"/>
        </w:rPr>
        <w:fldChar w:fldCharType="begin"/>
      </w:r>
      <w:r>
        <w:rPr>
          <w:rFonts w:ascii="Times New Roman" w:hAnsi="Times New Roman"/>
          <w:sz w:val="20"/>
          <w:szCs w:val="20"/>
        </w:rPr>
        <w:instrText xml:space="preserve"> REF _Ref28076734 \r \h </w:instrText>
      </w:r>
      <w:r>
        <w:rPr>
          <w:rFonts w:ascii="Times New Roman" w:hAnsi="Times New Roman"/>
          <w:sz w:val="20"/>
          <w:szCs w:val="20"/>
        </w:rPr>
        <w:fldChar w:fldCharType="end"/>
      </w:r>
      <w:r>
        <w:rPr>
          <w:rFonts w:ascii="Times New Roman" w:hAnsi="Times New Roman"/>
          <w:sz w:val="20"/>
          <w:szCs w:val="20"/>
        </w:rPr>
        <w:t xml:space="preserve">: </w:t>
      </w:r>
    </w:p>
    <w:p>
      <w:pPr>
        <w:snapToGrid w:val="0"/>
        <w:spacing w:before="180" w:beforeLines="50" w:after="180" w:afterLines="50" w:line="240" w:lineRule="auto"/>
        <w:ind w:left="220" w:leftChars="100"/>
        <w:jc w:val="both"/>
        <w:rPr>
          <w:rFonts w:ascii="Times New Roman" w:hAnsi="Times New Roman"/>
          <w:i/>
          <w:iCs/>
          <w:sz w:val="20"/>
          <w:szCs w:val="20"/>
        </w:rPr>
      </w:pPr>
      <w:r>
        <w:rPr>
          <w:rFonts w:ascii="Times New Roman" w:hAnsi="Times New Roman"/>
          <w:i/>
          <w:iCs/>
          <w:sz w:val="20"/>
          <w:szCs w:val="20"/>
        </w:rPr>
        <w:t>(a) For general commercial use cases (e.g., TS 22.261):</w:t>
      </w:r>
    </w:p>
    <w:p>
      <w:pPr>
        <w:snapToGrid w:val="0"/>
        <w:spacing w:before="180" w:beforeLines="50" w:after="180" w:afterLines="50" w:line="240" w:lineRule="auto"/>
        <w:ind w:left="440" w:leftChars="200"/>
        <w:jc w:val="both"/>
        <w:rPr>
          <w:rFonts w:ascii="Times New Roman" w:hAnsi="Times New Roman"/>
          <w:i/>
          <w:iCs/>
          <w:sz w:val="20"/>
          <w:szCs w:val="20"/>
        </w:rPr>
      </w:pPr>
      <w:r>
        <w:rPr>
          <w:rFonts w:ascii="Times New Roman" w:hAnsi="Times New Roman"/>
          <w:i/>
          <w:iCs/>
          <w:sz w:val="20"/>
          <w:szCs w:val="20"/>
        </w:rPr>
        <w:t>- sub-meter level position accuracy (&lt; 1 m)</w:t>
      </w:r>
    </w:p>
    <w:p>
      <w:pPr>
        <w:snapToGrid w:val="0"/>
        <w:spacing w:before="180" w:beforeLines="50" w:after="180" w:afterLines="50" w:line="240" w:lineRule="auto"/>
        <w:ind w:left="220" w:leftChars="100"/>
        <w:jc w:val="both"/>
        <w:rPr>
          <w:rFonts w:ascii="Times New Roman" w:hAnsi="Times New Roman"/>
          <w:i/>
          <w:iCs/>
          <w:sz w:val="20"/>
          <w:szCs w:val="20"/>
        </w:rPr>
      </w:pPr>
      <w:r>
        <w:rPr>
          <w:rFonts w:ascii="Times New Roman" w:hAnsi="Times New Roman"/>
          <w:i/>
          <w:iCs/>
          <w:sz w:val="20"/>
          <w:szCs w:val="20"/>
        </w:rPr>
        <w:t>(b) For IIoT Use Cases (e.g. 22.804):</w:t>
      </w:r>
    </w:p>
    <w:p>
      <w:pPr>
        <w:snapToGrid w:val="0"/>
        <w:spacing w:before="180" w:beforeLines="50" w:after="180" w:afterLines="50" w:line="240" w:lineRule="auto"/>
        <w:ind w:left="440" w:leftChars="200"/>
        <w:jc w:val="both"/>
        <w:rPr>
          <w:rFonts w:ascii="Times New Roman" w:hAnsi="Times New Roman"/>
          <w:i/>
          <w:iCs/>
          <w:sz w:val="20"/>
          <w:szCs w:val="20"/>
        </w:rPr>
      </w:pPr>
      <w:r>
        <w:rPr>
          <w:rFonts w:ascii="Times New Roman" w:hAnsi="Times New Roman"/>
          <w:i/>
          <w:iCs/>
          <w:sz w:val="20"/>
          <w:szCs w:val="20"/>
        </w:rPr>
        <w:t>- position accuracy &lt; 0.2 m</w:t>
      </w:r>
    </w:p>
    <w:p>
      <w:pPr>
        <w:snapToGrid w:val="0"/>
        <w:spacing w:before="180" w:beforeLines="50" w:after="180" w:afterLines="50" w:line="240" w:lineRule="auto"/>
        <w:ind w:left="220" w:leftChars="100"/>
        <w:jc w:val="both"/>
        <w:rPr>
          <w:rFonts w:ascii="Times New Roman" w:hAnsi="Times New Roman"/>
          <w:sz w:val="20"/>
          <w:szCs w:val="20"/>
        </w:rPr>
      </w:pPr>
      <w:r>
        <w:rPr>
          <w:rFonts w:ascii="Times New Roman" w:hAnsi="Times New Roman"/>
          <w:i/>
          <w:iCs/>
          <w:sz w:val="20"/>
          <w:szCs w:val="20"/>
        </w:rPr>
        <w:t>The target latency requirement is &lt; 100 ms; for some IIoT use cases, latency in the order of 10 ms is desired.</w:t>
      </w:r>
      <w:r>
        <w:rPr>
          <w:rFonts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To meet the above performance targets, the SID lists the following RAN1 centric objective</w:t>
      </w:r>
      <w:r>
        <w:rPr>
          <w:rFonts w:hint="eastAsia" w:ascii="Times New Roman" w:hAnsi="Times New Roman"/>
          <w:sz w:val="20"/>
          <w:szCs w:val="20"/>
        </w:rPr>
        <w:t>s</w:t>
      </w:r>
      <w:r>
        <w:rPr>
          <w:rFonts w:ascii="Times New Roman" w:hAnsi="Times New Roman"/>
          <w:sz w:val="20"/>
          <w:szCs w:val="20"/>
        </w:rPr>
        <w:t>.</w:t>
      </w:r>
    </w:p>
    <w:p>
      <w:pPr>
        <w:snapToGrid w:val="0"/>
        <w:spacing w:before="180" w:beforeLines="50" w:after="180" w:afterLines="50" w:line="240" w:lineRule="auto"/>
        <w:ind w:left="220" w:leftChars="100" w:right="-99"/>
        <w:rPr>
          <w:rFonts w:ascii="Times New Roman" w:hAnsi="Times New Roman" w:eastAsia="宋体"/>
          <w:i/>
          <w:iCs/>
          <w:sz w:val="20"/>
          <w:szCs w:val="20"/>
          <w:lang w:eastAsia="ja-JP"/>
        </w:rPr>
      </w:pPr>
      <w:r>
        <w:rPr>
          <w:rFonts w:ascii="Times New Roman" w:hAnsi="Times New Roman" w:eastAsia="宋体"/>
          <w:i/>
          <w:iCs/>
          <w:sz w:val="20"/>
          <w:szCs w:val="20"/>
          <w:lang w:eastAsia="ja-JP"/>
        </w:rPr>
        <w:t>Study enhancements and solutions necessary to support the high accuracy (horizontal and vertical), low latency, network efficiency (</w:t>
      </w:r>
      <w:r>
        <w:rPr>
          <w:rFonts w:hint="eastAsia" w:ascii="Times New Roman" w:hAnsi="Times New Roman" w:eastAsia="宋体"/>
          <w:i/>
          <w:iCs/>
          <w:sz w:val="20"/>
          <w:szCs w:val="20"/>
        </w:rPr>
        <w:t xml:space="preserve"> </w:t>
      </w:r>
      <w:r>
        <w:rPr>
          <w:rFonts w:ascii="Times New Roman" w:hAnsi="Times New Roman" w:eastAsia="宋体"/>
          <w:i/>
          <w:iCs/>
          <w:sz w:val="20"/>
          <w:szCs w:val="20"/>
          <w:lang w:eastAsia="ja-JP"/>
        </w:rPr>
        <w:t>scalability, RS overhead, etc.), and device efficiency (power consumption, complexity, etc.) requirements for commercial uses cases (incl. general commercial use cases and specifically (I)IoT use cases as exemplified in section 3 above (Justification)):</w:t>
      </w:r>
    </w:p>
    <w:p>
      <w:pPr>
        <w:numPr>
          <w:ilvl w:val="0"/>
          <w:numId w:val="3"/>
        </w:numPr>
        <w:tabs>
          <w:tab w:val="left" w:pos="420"/>
          <w:tab w:val="clear" w:pos="840"/>
        </w:tabs>
        <w:snapToGrid w:val="0"/>
        <w:spacing w:before="180" w:beforeLines="50" w:after="180" w:afterLines="50" w:line="240" w:lineRule="auto"/>
        <w:ind w:left="1065" w:right="-99"/>
        <w:rPr>
          <w:rFonts w:ascii="Times New Roman" w:hAnsi="Times New Roman" w:eastAsia="宋体"/>
          <w:i/>
          <w:iCs/>
          <w:sz w:val="20"/>
          <w:szCs w:val="20"/>
          <w:lang w:eastAsia="ja-JP"/>
        </w:rPr>
      </w:pPr>
      <w:r>
        <w:rPr>
          <w:rFonts w:ascii="Times New Roman" w:hAnsi="Times New Roman" w:eastAsia="宋体"/>
          <w:i/>
          <w:iCs/>
          <w:sz w:val="20"/>
          <w:szCs w:val="20"/>
          <w:lang w:eastAsia="ja-JP"/>
        </w:rPr>
        <w:t>Define additional scenarios (e.g. (I)IoT) based on TR 38.901 to evaluate the performance for the use cases (e.g. (I)IoT). [RAN1]</w:t>
      </w:r>
    </w:p>
    <w:p>
      <w:pPr>
        <w:numPr>
          <w:ilvl w:val="0"/>
          <w:numId w:val="3"/>
        </w:numPr>
        <w:tabs>
          <w:tab w:val="left" w:pos="420"/>
          <w:tab w:val="clear" w:pos="840"/>
        </w:tabs>
        <w:snapToGrid w:val="0"/>
        <w:spacing w:before="180" w:beforeLines="50" w:after="180" w:afterLines="50" w:line="240" w:lineRule="auto"/>
        <w:ind w:left="1065" w:right="-99"/>
        <w:rPr>
          <w:rFonts w:ascii="Times New Roman" w:hAnsi="Times New Roman" w:eastAsia="宋体"/>
          <w:i/>
          <w:iCs/>
          <w:sz w:val="20"/>
          <w:szCs w:val="20"/>
          <w:lang w:eastAsia="ja-JP"/>
        </w:rPr>
      </w:pPr>
      <w:r>
        <w:rPr>
          <w:rFonts w:ascii="Times New Roman" w:hAnsi="Times New Roman" w:eastAsia="宋体"/>
          <w:i/>
          <w:iCs/>
          <w:sz w:val="20"/>
          <w:szCs w:val="20"/>
          <w:lang w:eastAsia="ja-JP"/>
        </w:rPr>
        <w:t>Evaluate the achievable positioning accuracy and latency with the Rel-16 positioning solutions in (I)IoT scenarios and identify any performance gaps. [RAN1]</w:t>
      </w:r>
      <w:r>
        <w:rPr>
          <w:rFonts w:ascii="Times New Roman" w:hAnsi="Times New Roman" w:eastAsia="宋体"/>
          <w:i/>
          <w:iCs/>
          <w:sz w:val="20"/>
          <w:szCs w:val="20"/>
          <w:lang w:eastAsia="ja-JP"/>
        </w:rPr>
        <w:tab/>
      </w:r>
    </w:p>
    <w:p>
      <w:pPr>
        <w:numPr>
          <w:ilvl w:val="0"/>
          <w:numId w:val="3"/>
        </w:numPr>
        <w:tabs>
          <w:tab w:val="left" w:pos="420"/>
          <w:tab w:val="clear" w:pos="840"/>
        </w:tabs>
        <w:snapToGrid w:val="0"/>
        <w:spacing w:before="180" w:beforeLines="50" w:after="180" w:afterLines="50" w:line="240" w:lineRule="auto"/>
        <w:ind w:left="1065" w:right="-99"/>
        <w:rPr>
          <w:rFonts w:ascii="Times New Roman" w:hAnsi="Times New Roman" w:eastAsia="宋体"/>
          <w:i/>
          <w:iCs/>
          <w:sz w:val="20"/>
          <w:szCs w:val="20"/>
          <w:lang w:eastAsia="ja-JP"/>
        </w:rPr>
      </w:pPr>
      <w:r>
        <w:rPr>
          <w:rFonts w:ascii="Times New Roman" w:hAnsi="Times New Roman" w:eastAsia="宋体"/>
          <w:i/>
          <w:iCs/>
          <w:sz w:val="20"/>
          <w:szCs w:val="20"/>
          <w:lang w:eastAsia="ja-JP"/>
        </w:rPr>
        <w:t>Identify and evaluate positioning techniques, DL/UL positioning reference signals, signaling and procedures for improved accuracy, reduced latency, network efficiency, and device efficiency. Enhancements to Rel-16 positioning techniques, if they meet the requirements, will be prioritized, and new techniques will not be considered in this case. [RAN1, RAN2]</w:t>
      </w:r>
    </w:p>
    <w:p>
      <w:pPr>
        <w:pStyle w:val="87"/>
        <w:snapToGrid w:val="0"/>
        <w:spacing w:before="180" w:beforeLines="50" w:after="180" w:afterLines="50" w:line="240" w:lineRule="auto"/>
        <w:ind w:left="1071" w:leftChars="100"/>
        <w:rPr>
          <w:rFonts w:ascii="Times New Roman" w:hAnsi="Times New Roman" w:eastAsia="宋体"/>
          <w:i/>
          <w:iCs/>
          <w:sz w:val="20"/>
          <w:szCs w:val="20"/>
          <w:lang w:eastAsia="ja-JP"/>
        </w:rPr>
      </w:pPr>
      <w:r>
        <w:rPr>
          <w:rFonts w:ascii="Times New Roman" w:hAnsi="Times New Roman" w:eastAsia="宋体"/>
          <w:i/>
          <w:iCs/>
          <w:sz w:val="20"/>
          <w:szCs w:val="20"/>
          <w:lang w:eastAsia="ja-JP"/>
        </w:rPr>
        <w:t>NOTE 1:</w:t>
      </w:r>
      <w:r>
        <w:rPr>
          <w:rFonts w:ascii="Times New Roman" w:hAnsi="Times New Roman" w:eastAsia="宋体"/>
          <w:i/>
          <w:iCs/>
          <w:sz w:val="20"/>
          <w:szCs w:val="20"/>
          <w:lang w:eastAsia="ja-JP"/>
        </w:rPr>
        <w:tab/>
      </w:r>
      <w:r>
        <w:rPr>
          <w:rFonts w:ascii="Times New Roman" w:hAnsi="Times New Roman" w:eastAsia="宋体"/>
          <w:i/>
          <w:iCs/>
          <w:sz w:val="20"/>
          <w:szCs w:val="20"/>
          <w:lang w:eastAsia="ja-JP"/>
        </w:rPr>
        <w:t>Sidelink is not part of this objective.</w:t>
      </w:r>
    </w:p>
    <w:p>
      <w:pPr>
        <w:pStyle w:val="87"/>
        <w:snapToGrid w:val="0"/>
        <w:spacing w:before="180" w:beforeLines="50" w:after="180" w:afterLines="50" w:line="240" w:lineRule="auto"/>
        <w:ind w:left="1071" w:leftChars="100"/>
        <w:rPr>
          <w:rFonts w:ascii="Times New Roman" w:hAnsi="Times New Roman" w:eastAsia="宋体"/>
          <w:i/>
          <w:iCs/>
          <w:sz w:val="20"/>
          <w:szCs w:val="20"/>
          <w:lang w:eastAsia="ja-JP"/>
        </w:rPr>
      </w:pPr>
      <w:r>
        <w:rPr>
          <w:rFonts w:ascii="Times New Roman" w:hAnsi="Times New Roman" w:eastAsia="宋体"/>
          <w:i/>
          <w:iCs/>
          <w:sz w:val="20"/>
          <w:szCs w:val="20"/>
          <w:lang w:eastAsia="ja-JP"/>
        </w:rPr>
        <w:t>NOTE 2:</w:t>
      </w:r>
      <w:r>
        <w:rPr>
          <w:rFonts w:ascii="Times New Roman" w:hAnsi="Times New Roman" w:eastAsia="宋体"/>
          <w:i/>
          <w:iCs/>
          <w:sz w:val="20"/>
          <w:szCs w:val="20"/>
          <w:lang w:eastAsia="ja-JP"/>
        </w:rPr>
        <w:tab/>
      </w:r>
      <w:r>
        <w:rPr>
          <w:rFonts w:ascii="Times New Roman" w:hAnsi="Times New Roman" w:eastAsia="宋体"/>
          <w:i/>
          <w:iCs/>
          <w:sz w:val="20"/>
          <w:szCs w:val="20"/>
          <w:lang w:eastAsia="ja-JP"/>
        </w:rPr>
        <w:t>Involve RAN4 for validating assumptions for the systems evaluations where appropriate.</w:t>
      </w:r>
    </w:p>
    <w:p>
      <w:pPr>
        <w:pStyle w:val="87"/>
        <w:snapToGrid w:val="0"/>
        <w:spacing w:before="180" w:beforeLines="50" w:after="180" w:afterLines="50" w:line="240" w:lineRule="auto"/>
        <w:ind w:left="1071" w:leftChars="100"/>
        <w:rPr>
          <w:rFonts w:ascii="Times New Roman" w:hAnsi="Times New Roman" w:eastAsia="宋体"/>
          <w:i/>
          <w:iCs/>
          <w:sz w:val="20"/>
          <w:szCs w:val="20"/>
          <w:lang w:eastAsia="ja-JP"/>
        </w:rPr>
      </w:pPr>
      <w:r>
        <w:rPr>
          <w:rFonts w:ascii="Times New Roman" w:hAnsi="Times New Roman" w:eastAsia="宋体"/>
          <w:i/>
          <w:iCs/>
          <w:sz w:val="20"/>
          <w:szCs w:val="20"/>
          <w:lang w:eastAsia="ja-JP"/>
        </w:rPr>
        <w:t>NOTE 3:</w:t>
      </w:r>
      <w:r>
        <w:rPr>
          <w:rFonts w:ascii="Times New Roman" w:hAnsi="Times New Roman" w:eastAsia="宋体"/>
          <w:i/>
          <w:iCs/>
          <w:sz w:val="20"/>
          <w:szCs w:val="20"/>
          <w:lang w:eastAsia="ja-JP"/>
        </w:rPr>
        <w:tab/>
      </w:r>
      <w:r>
        <w:rPr>
          <w:rFonts w:ascii="Times New Roman" w:hAnsi="Times New Roman" w:eastAsia="宋体"/>
          <w:i/>
          <w:iCs/>
          <w:sz w:val="20"/>
          <w:szCs w:val="20"/>
          <w:lang w:eastAsia="ja-JP"/>
        </w:rPr>
        <w:t>The commercial use cases and requirements are applicable to a limited geographic area.</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study item is to address the higher accuracy location requirements resulting from new applications from industry verticals. Since the requirements and objectives are higher than </w:t>
      </w:r>
      <w:r>
        <w:rPr>
          <w:rFonts w:hint="eastAsia" w:ascii="Times New Roman" w:hAnsi="Times New Roman"/>
          <w:sz w:val="20"/>
          <w:szCs w:val="20"/>
        </w:rPr>
        <w:t>Rel-17</w:t>
      </w:r>
      <w:r>
        <w:rPr>
          <w:rFonts w:ascii="Times New Roman" w:hAnsi="Times New Roman"/>
          <w:sz w:val="20"/>
          <w:szCs w:val="20"/>
        </w:rPr>
        <w:t>, new techniques and designs may be needed to meet the requirements.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illustrated in our </w:t>
      </w:r>
      <w:bookmarkStart w:id="5" w:name="OLE_LINK1"/>
      <w:r>
        <w:rPr>
          <w:rFonts w:ascii="Times New Roman" w:hAnsi="Times New Roman"/>
          <w:sz w:val="20"/>
          <w:szCs w:val="20"/>
        </w:rPr>
        <w:t>companion</w:t>
      </w:r>
      <w:bookmarkEnd w:id="5"/>
      <w:r>
        <w:rPr>
          <w:rFonts w:ascii="Times New Roman" w:hAnsi="Times New Roman"/>
          <w:sz w:val="20"/>
          <w:szCs w:val="20"/>
        </w:rPr>
        <w:t xml:space="preserve"> contributions [2-3], </w:t>
      </w:r>
      <w:r>
        <w:rPr>
          <w:rFonts w:hint="eastAsia" w:ascii="Times New Roman" w:hAnsi="Times New Roman"/>
          <w:sz w:val="20"/>
          <w:szCs w:val="20"/>
        </w:rPr>
        <w:t>Rel-16</w:t>
      </w:r>
      <w:r>
        <w:rPr>
          <w:rFonts w:ascii="Times New Roman" w:hAnsi="Times New Roman"/>
          <w:sz w:val="20"/>
          <w:szCs w:val="20"/>
        </w:rPr>
        <w:t xml:space="preserve"> positioning techniques are hard to meet the </w:t>
      </w:r>
      <w:r>
        <w:rPr>
          <w:rFonts w:hint="eastAsia" w:ascii="Times New Roman" w:hAnsi="Times New Roman"/>
          <w:sz w:val="20"/>
          <w:szCs w:val="20"/>
        </w:rPr>
        <w:t>Rel-17</w:t>
      </w:r>
      <w:r>
        <w:rPr>
          <w:rFonts w:ascii="Times New Roman" w:hAnsi="Times New Roman"/>
          <w:sz w:val="20"/>
          <w:szCs w:val="20"/>
        </w:rPr>
        <w:t xml:space="preserve"> accuracy target in </w:t>
      </w:r>
      <w:r>
        <w:rPr>
          <w:rFonts w:hint="eastAsia" w:ascii="Times New Roman" w:hAnsi="Times New Roman"/>
          <w:sz w:val="20"/>
          <w:szCs w:val="20"/>
        </w:rPr>
        <w:t>some</w:t>
      </w:r>
      <w:r>
        <w:rPr>
          <w:rFonts w:ascii="Times New Roman" w:hAnsi="Times New Roman"/>
          <w:sz w:val="20"/>
          <w:szCs w:val="20"/>
        </w:rPr>
        <w:t xml:space="preserve"> of scenarios. In addition, overhead of DL/UL positioning reference signals, signaling and procedures for improved accuracy, reduced latency, network efficiency and device efficiency are important factors impacting the positioning of IIOT scenarios.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we provide our views on potential positioning enhancements for </w:t>
      </w:r>
      <w:r>
        <w:rPr>
          <w:rFonts w:hint="eastAsia" w:ascii="Times New Roman" w:hAnsi="Times New Roman"/>
          <w:sz w:val="20"/>
          <w:szCs w:val="20"/>
        </w:rPr>
        <w:t>Rel-17</w:t>
      </w:r>
      <w:r>
        <w:rPr>
          <w:rFonts w:ascii="Times New Roman" w:hAnsi="Times New Roman"/>
          <w:sz w:val="20"/>
          <w:szCs w:val="20"/>
        </w:rPr>
        <w:t>.</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Improved accuracy</w:t>
      </w:r>
    </w:p>
    <w:p>
      <w:pPr>
        <w:pStyle w:val="3"/>
        <w:rPr>
          <w:rFonts w:ascii="Times New Roman" w:hAnsi="Times New Roman"/>
          <w:sz w:val="24"/>
          <w:szCs w:val="24"/>
          <w:lang w:val="en-US"/>
        </w:rPr>
      </w:pPr>
      <w:r>
        <w:rPr>
          <w:rFonts w:ascii="Times New Roman" w:hAnsi="Times New Roman"/>
          <w:sz w:val="24"/>
          <w:szCs w:val="24"/>
          <w:lang w:val="en-US"/>
        </w:rPr>
        <w:t>Joint measurement across frequency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we know, the accuracy of TOA estimation mainly depends on the bandwidth for timing based measurements. Although Rel-16 has defined different positioning frequency layers for DL PRS, there is no such UE capability supporting positioning frequency layer aggregation, so the DL PRS belongs to different positioning frequency layers can only be received by UE in a TDMed way.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On the other hand, due to the limited frequency bandwidth in a component carrier or a band, e.g. the maximum bandwidth of DL PRS in FR1 is 100MHz, which may be not enough to meet strict requirements in Rel-17.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it</w:t>
      </w:r>
      <w:r>
        <w:rPr>
          <w:rFonts w:ascii="Times New Roman" w:hAnsi="Times New Roman"/>
          <w:sz w:val="20"/>
          <w:szCs w:val="20"/>
        </w:rPr>
        <w:t>’</w:t>
      </w:r>
      <w:r>
        <w:rPr>
          <w:rFonts w:hint="eastAsia" w:ascii="Times New Roman" w:hAnsi="Times New Roman"/>
          <w:sz w:val="20"/>
          <w:szCs w:val="20"/>
        </w:rPr>
        <w:t>s feasible that DL PRS from different positioning frequency layers can be used jointly for timing measurements. By doing so, the effective bandwidth of DL PRS would be larger for better TOA estimation.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We have conducted a preliminary investigation as shown in the following figures. Three different bandwidth settings are simulated to acquire TOA estimation error and positioning estimation error, where three different bandwidth settings are 50Mhz (case 1), 100MHz with continuous bandwidth (case 2) and 100Mhz with 50MHz gap between two frequency units (case 3). As can be seen from the figure 1, the TOA estimation accuracy of case 3 is better than case 1, but worse than case 2, which confirms that joint measurement based on RS from different frequency units will improve TOA estimation accuracy. To be more specific, case 2 has 0.346 m performance gain of TOA error compared with case 1 for at least 90% UEs, which improves almost 0.166 m positioning accuracy as shown in figure 2.</w:t>
      </w:r>
    </w:p>
    <w:p>
      <w:pPr>
        <w:snapToGrid w:val="0"/>
        <w:spacing w:before="180" w:beforeLines="50" w:after="180" w:afterLines="50" w:line="20" w:lineRule="atLeast"/>
        <w:jc w:val="center"/>
      </w:pPr>
      <w:r>
        <w:drawing>
          <wp:inline distT="0" distB="0" distL="114300" distR="114300">
            <wp:extent cx="4777105" cy="3060065"/>
            <wp:effectExtent l="0" t="0" r="4445" b="698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5"/>
                    <a:stretch>
                      <a:fillRect/>
                    </a:stretch>
                  </pic:blipFill>
                  <pic:spPr>
                    <a:xfrm>
                      <a:off x="0" y="0"/>
                      <a:ext cx="4777105" cy="3060065"/>
                    </a:xfrm>
                    <a:prstGeom prst="rect">
                      <a:avLst/>
                    </a:prstGeom>
                    <a:noFill/>
                    <a:ln>
                      <a:noFill/>
                    </a:ln>
                  </pic:spPr>
                </pic:pic>
              </a:graphicData>
            </a:graphic>
          </wp:inline>
        </w:drawing>
      </w:r>
    </w:p>
    <w:p>
      <w:pPr>
        <w:snapToGrid w:val="0"/>
        <w:spacing w:before="180" w:beforeLines="50" w:after="180" w:afterLines="50" w:line="20" w:lineRule="atLeast"/>
        <w:jc w:val="center"/>
        <w:rPr>
          <w:rFonts w:ascii="Times New Roman" w:hAnsi="Times New Roman"/>
          <w:sz w:val="20"/>
          <w:szCs w:val="20"/>
        </w:rPr>
      </w:pPr>
      <w:r>
        <w:rPr>
          <w:rFonts w:hint="eastAsia" w:ascii="Times New Roman" w:hAnsi="Times New Roman"/>
          <w:sz w:val="20"/>
          <w:szCs w:val="20"/>
        </w:rPr>
        <w:t xml:space="preserve">Figure 1 CDF of TOA </w:t>
      </w:r>
      <w:r>
        <w:rPr>
          <w:rFonts w:hint="eastAsia" w:ascii="Times New Roman" w:hAnsi="Times New Roman"/>
          <w:sz w:val="20"/>
          <w:szCs w:val="20"/>
          <w:lang w:val="en-US" w:eastAsia="zh-CN"/>
        </w:rPr>
        <w:t xml:space="preserve">estimation </w:t>
      </w:r>
      <w:r>
        <w:rPr>
          <w:rFonts w:hint="eastAsia" w:ascii="Times New Roman" w:hAnsi="Times New Roman"/>
          <w:sz w:val="20"/>
          <w:szCs w:val="20"/>
        </w:rPr>
        <w:t>error</w:t>
      </w:r>
    </w:p>
    <w:p>
      <w:pPr>
        <w:snapToGrid w:val="0"/>
        <w:spacing w:before="180" w:beforeLines="50" w:after="180" w:afterLines="50" w:line="20" w:lineRule="atLeast"/>
        <w:jc w:val="center"/>
      </w:pPr>
      <w:r>
        <w:drawing>
          <wp:inline distT="0" distB="0" distL="114300" distR="114300">
            <wp:extent cx="4731385" cy="3060065"/>
            <wp:effectExtent l="0" t="0" r="12065" b="698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6"/>
                    <a:stretch>
                      <a:fillRect/>
                    </a:stretch>
                  </pic:blipFill>
                  <pic:spPr>
                    <a:xfrm>
                      <a:off x="0" y="0"/>
                      <a:ext cx="4731385" cy="3060065"/>
                    </a:xfrm>
                    <a:prstGeom prst="rect">
                      <a:avLst/>
                    </a:prstGeom>
                    <a:noFill/>
                    <a:ln>
                      <a:noFill/>
                    </a:ln>
                  </pic:spPr>
                </pic:pic>
              </a:graphicData>
            </a:graphic>
          </wp:inline>
        </w:drawing>
      </w:r>
    </w:p>
    <w:p>
      <w:pPr>
        <w:snapToGrid w:val="0"/>
        <w:spacing w:before="180" w:beforeLines="50" w:after="180" w:afterLines="50" w:line="20" w:lineRule="atLeast"/>
        <w:jc w:val="center"/>
        <w:rPr>
          <w:rFonts w:ascii="Times New Roman" w:hAnsi="Times New Roman"/>
          <w:sz w:val="20"/>
          <w:szCs w:val="20"/>
        </w:rPr>
      </w:pPr>
      <w:r>
        <w:rPr>
          <w:rFonts w:hint="eastAsia" w:ascii="Times New Roman" w:hAnsi="Times New Roman"/>
          <w:sz w:val="20"/>
          <w:szCs w:val="20"/>
        </w:rPr>
        <w:t xml:space="preserve">Figure 2 CDF of positioning </w:t>
      </w:r>
      <w:r>
        <w:rPr>
          <w:rFonts w:hint="eastAsia" w:ascii="Times New Roman" w:hAnsi="Times New Roman"/>
          <w:sz w:val="20"/>
          <w:szCs w:val="20"/>
          <w:lang w:val="en-US" w:eastAsia="zh-CN"/>
        </w:rPr>
        <w:t xml:space="preserve">estimation </w:t>
      </w:r>
      <w:r>
        <w:rPr>
          <w:rFonts w:hint="eastAsia" w:ascii="Times New Roman" w:hAnsi="Times New Roman"/>
          <w:sz w:val="20"/>
          <w:szCs w:val="20"/>
        </w:rPr>
        <w:t>error</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Observation 1:</w:t>
      </w:r>
      <w:r>
        <w:rPr>
          <w:rFonts w:hint="eastAsia" w:ascii="Times New Roman" w:hAnsi="Times New Roman"/>
          <w:sz w:val="20"/>
          <w:szCs w:val="20"/>
        </w:rPr>
        <w:t xml:space="preserve"> </w:t>
      </w:r>
      <w:r>
        <w:rPr>
          <w:rFonts w:hint="eastAsia" w:ascii="Times New Roman" w:hAnsi="Times New Roman"/>
          <w:i/>
          <w:iCs/>
          <w:sz w:val="20"/>
          <w:szCs w:val="20"/>
        </w:rPr>
        <w:t>Timing measurements based on both continuous and non</w:t>
      </w:r>
      <w:r>
        <w:rPr>
          <w:rFonts w:ascii="Times New Roman" w:hAnsi="Times New Roman"/>
          <w:i/>
          <w:iCs/>
          <w:sz w:val="20"/>
          <w:szCs w:val="20"/>
        </w:rPr>
        <w:t>-</w:t>
      </w:r>
      <w:r>
        <w:rPr>
          <w:rFonts w:hint="eastAsia" w:ascii="Times New Roman" w:hAnsi="Times New Roman"/>
          <w:i/>
          <w:iCs/>
          <w:sz w:val="20"/>
          <w:szCs w:val="20"/>
        </w:rPr>
        <w:t xml:space="preserve">continuous frequency units </w:t>
      </w:r>
      <w:r>
        <w:rPr>
          <w:rFonts w:ascii="Times New Roman" w:hAnsi="Times New Roman"/>
          <w:i/>
          <w:iCs/>
          <w:sz w:val="20"/>
          <w:szCs w:val="20"/>
        </w:rPr>
        <w:t>can</w:t>
      </w:r>
      <w:r>
        <w:rPr>
          <w:rFonts w:hint="eastAsia" w:ascii="Times New Roman" w:hAnsi="Times New Roman"/>
          <w:i/>
          <w:iCs/>
          <w:sz w:val="20"/>
          <w:szCs w:val="20"/>
        </w:rPr>
        <w:t xml:space="preserve"> improve TOA estimation accuracy and lead to better positioning accuracy.</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Rel-17 enhancements should consider joint measurement based on different frequency units, e.g. allow joint measurement based on DL PRS from different positioning frequency layers.</w:t>
      </w:r>
    </w:p>
    <w:p>
      <w:pPr>
        <w:pStyle w:val="3"/>
        <w:rPr>
          <w:sz w:val="24"/>
          <w:szCs w:val="24"/>
          <w:lang w:val="en-US"/>
        </w:rPr>
      </w:pPr>
      <w:r>
        <w:rPr>
          <w:sz w:val="24"/>
          <w:szCs w:val="24"/>
          <w:lang w:val="en-US"/>
        </w:rPr>
        <w:t>Prior channel information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existing techniques, there are time and angle based methods for positioning a mobile terminal, such as time of arrival (TOA), receive signal time difference (RSTD)</w:t>
      </w:r>
      <w:r>
        <w:rPr>
          <w:rFonts w:ascii="Times New Roman" w:hAnsi="Times New Roman"/>
          <w:sz w:val="20"/>
          <w:szCs w:val="20"/>
        </w:rPr>
        <w:t>,</w:t>
      </w:r>
      <w:r>
        <w:rPr>
          <w:rFonts w:hint="eastAsia" w:ascii="Times New Roman" w:hAnsi="Times New Roman"/>
          <w:sz w:val="20"/>
          <w:szCs w:val="20"/>
        </w:rPr>
        <w:t xml:space="preserve"> Multi round-trip-time (Multi-RTT), angle of departure (AOD)</w:t>
      </w:r>
      <w:r>
        <w:rPr>
          <w:rFonts w:ascii="Times New Roman" w:hAnsi="Times New Roman"/>
          <w:sz w:val="20"/>
          <w:szCs w:val="20"/>
        </w:rPr>
        <w:t xml:space="preserve"> </w:t>
      </w:r>
      <w:r>
        <w:rPr>
          <w:rFonts w:hint="eastAsia" w:ascii="Times New Roman" w:hAnsi="Times New Roman"/>
          <w:sz w:val="20"/>
          <w:szCs w:val="20"/>
        </w:rPr>
        <w:t xml:space="preserve">and angle of arrival (AOA). However, performance of the aforementioned approaches largely depends on whether links (e.g. channels) of the mobile terminal being line-of-sight (LOS) links. When </w:t>
      </w:r>
      <w:r>
        <w:rPr>
          <w:rFonts w:ascii="Times New Roman" w:hAnsi="Times New Roman"/>
          <w:sz w:val="20"/>
          <w:szCs w:val="20"/>
        </w:rPr>
        <w:t>the</w:t>
      </w:r>
      <w:r>
        <w:rPr>
          <w:rFonts w:hint="eastAsia" w:ascii="Times New Roman" w:hAnsi="Times New Roman"/>
          <w:sz w:val="20"/>
          <w:szCs w:val="20"/>
        </w:rPr>
        <w:t xml:space="preserve"> probability of the links of the mobile being the LOS links is low, the performance of the aforementioned approaches is downgraded. In addition, characteristics of the links of the mobile terminal may be so complex that it</w:t>
      </w:r>
      <w:r>
        <w:rPr>
          <w:rFonts w:ascii="Times New Roman" w:hAnsi="Times New Roman"/>
          <w:sz w:val="20"/>
          <w:szCs w:val="20"/>
        </w:rPr>
        <w:t>’</w:t>
      </w:r>
      <w:r>
        <w:rPr>
          <w:rFonts w:hint="eastAsia" w:ascii="Times New Roman" w:hAnsi="Times New Roman"/>
          <w:sz w:val="20"/>
          <w:szCs w:val="20"/>
        </w:rPr>
        <w:t>s hard for the mobile terminal to get enough information simply</w:t>
      </w:r>
      <w:r>
        <w:rPr>
          <w:rFonts w:ascii="Times New Roman" w:hAnsi="Times New Roman"/>
          <w:sz w:val="20"/>
          <w:szCs w:val="20"/>
        </w:rPr>
        <w:t xml:space="preserve"> from</w:t>
      </w:r>
      <w:r>
        <w:rPr>
          <w:rFonts w:hint="eastAsia" w:ascii="Times New Roman" w:hAnsi="Times New Roman"/>
          <w:sz w:val="20"/>
          <w:szCs w:val="20"/>
        </w:rPr>
        <w:t xml:space="preserve"> receiving reference signals.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it would be better for UE to have some prior channel information, which might be useful for UE to estimate/predict channel characteristics. The possible usages of priori channel information may be,</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Serve as fingerprint (e.g. RSRP) to estimate the coarse location of UE. </w:t>
      </w:r>
    </w:p>
    <w:p>
      <w:pPr>
        <w:numPr>
          <w:ilvl w:val="0"/>
          <w:numId w:val="4"/>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Identify LOS and NLOS link (e.g. the PDF of Rician K-factor, because the Rician K-factor of LOS link </w:t>
      </w:r>
      <w:r>
        <w:rPr>
          <w:rFonts w:hint="eastAsia" w:ascii="Times New Roman" w:hAnsi="Times New Roman"/>
          <w:sz w:val="20"/>
          <w:szCs w:val="20"/>
          <w:lang w:val="en-US" w:eastAsia="zh-CN"/>
        </w:rPr>
        <w:t>is</w:t>
      </w:r>
      <w:r>
        <w:rPr>
          <w:rFonts w:hint="eastAsia" w:ascii="Times New Roman" w:hAnsi="Times New Roman"/>
          <w:sz w:val="20"/>
          <w:szCs w:val="20"/>
        </w:rPr>
        <w:t xml:space="preserve"> normally larger than NLOS link).</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We have conducted some preliminary simulations to investigate prior channel information</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Details can be seen in</w:t>
      </w:r>
      <w:r>
        <w:rPr>
          <w:rFonts w:hint="eastAsia" w:ascii="Times New Roman" w:hAnsi="Times New Roman"/>
          <w:sz w:val="20"/>
          <w:szCs w:val="20"/>
        </w:rPr>
        <w:t xml:space="preserve"> our companion contribution [4].</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Network can deliver some prior channel information to UE, the information will assist UE to </w:t>
      </w:r>
      <w:r>
        <w:rPr>
          <w:rFonts w:ascii="Times New Roman" w:hAnsi="Times New Roman"/>
          <w:i/>
          <w:iCs/>
          <w:sz w:val="20"/>
          <w:szCs w:val="20"/>
        </w:rPr>
        <w:t>perform better positioning</w:t>
      </w:r>
      <w:r>
        <w:rPr>
          <w:rFonts w:hint="eastAsia" w:ascii="Times New Roman" w:hAnsi="Times New Roman"/>
          <w:i/>
          <w:iCs/>
          <w:sz w:val="20"/>
          <w:szCs w:val="20"/>
        </w:rPr>
        <w:t>.</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RS enhancement</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NR Rel-1</w:t>
      </w:r>
      <w:r>
        <w:rPr>
          <w:rFonts w:ascii="Times New Roman" w:hAnsi="Times New Roman"/>
          <w:sz w:val="20"/>
          <w:szCs w:val="20"/>
        </w:rPr>
        <w:t>6</w:t>
      </w:r>
      <w:r>
        <w:rPr>
          <w:rFonts w:hint="eastAsia" w:ascii="Times New Roman" w:hAnsi="Times New Roman"/>
          <w:sz w:val="20"/>
          <w:szCs w:val="20"/>
        </w:rPr>
        <w:t>, new RS has been designed for positioning purpose. The DL PRS will be received from many TRP(s)</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whereas</w:t>
      </w:r>
      <w:r>
        <w:rPr>
          <w:rFonts w:hint="eastAsia" w:ascii="Times New Roman" w:hAnsi="Times New Roman"/>
          <w:sz w:val="20"/>
          <w:szCs w:val="20"/>
        </w:rPr>
        <w:t xml:space="preserve"> the UL PRS will be transmitted from many terminals in </w:t>
      </w:r>
      <w:r>
        <w:rPr>
          <w:rFonts w:ascii="Times New Roman" w:hAnsi="Times New Roman"/>
          <w:sz w:val="20"/>
          <w:szCs w:val="20"/>
        </w:rPr>
        <w:t>massive terminal</w:t>
      </w:r>
      <w:r>
        <w:rPr>
          <w:rFonts w:hint="eastAsia" w:ascii="Times New Roman" w:hAnsi="Times New Roman"/>
          <w:sz w:val="20"/>
          <w:szCs w:val="20"/>
        </w:rPr>
        <w:t xml:space="preserve"> scenario</w:t>
      </w:r>
      <w:r>
        <w:rPr>
          <w:rFonts w:ascii="Times New Roman" w:hAnsi="Times New Roman"/>
          <w:sz w:val="20"/>
          <w:szCs w:val="20"/>
        </w:rPr>
        <w:t>s</w:t>
      </w:r>
      <w:r>
        <w:rPr>
          <w:rFonts w:hint="eastAsia" w:ascii="Times New Roman" w:hAnsi="Times New Roman"/>
          <w:sz w:val="20"/>
          <w:szCs w:val="20"/>
        </w:rPr>
        <w:t>, so how to manage the interference among different sources is a practical problem to be addressed. In current spec, the interference management can be realized in following ways,</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Different frequency domain allocation(e.g. different comb offset)</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Different time domain allocation</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Cyclic shift or different initialization sequences</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PRS muting</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However, if the scenario has massive terminals ( e.g. plant asset management in IIOT scenario), the current techniques might not be enough to avoid severe interference. Besides, the PRS muting is not </w:t>
      </w:r>
      <w:r>
        <w:rPr>
          <w:rFonts w:ascii="Times New Roman" w:hAnsi="Times New Roman"/>
          <w:sz w:val="20"/>
          <w:szCs w:val="20"/>
        </w:rPr>
        <w:t xml:space="preserve">a </w:t>
      </w:r>
      <w:r>
        <w:rPr>
          <w:rFonts w:hint="eastAsia" w:ascii="Times New Roman" w:hAnsi="Times New Roman"/>
          <w:sz w:val="20"/>
          <w:szCs w:val="20"/>
        </w:rPr>
        <w:t xml:space="preserve">resource friendly way for transmission. For example, the PRS muting is used for interference cancellation for PRS(s) overlapped in time domain, which means a DL PRS from one TRP should be muted for the reception of DL PRS from another TRP.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As we know, orthogonal cover code (OCC) has been widely applied to</w:t>
      </w:r>
      <w:r>
        <w:rPr>
          <w:rFonts w:ascii="Times New Roman" w:hAnsi="Times New Roman"/>
          <w:sz w:val="20"/>
          <w:szCs w:val="20"/>
        </w:rPr>
        <w:t xml:space="preserve"> avoid</w:t>
      </w:r>
      <w:r>
        <w:rPr>
          <w:rFonts w:hint="eastAsia" w:ascii="Times New Roman" w:hAnsi="Times New Roman"/>
          <w:sz w:val="20"/>
          <w:szCs w:val="20"/>
        </w:rPr>
        <w:t xml:space="preserve"> interference on different antenna ports. The OCC can also be introduced for DL PRS, some basic justifications can be,</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DL PRS from different TRP can fully overlap without the need of PRS muting.</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Larger multiplexing factor in some cases.</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More</w:t>
      </w:r>
      <w:bookmarkStart w:id="6" w:name="OLE_LINK2"/>
      <w:r>
        <w:rPr>
          <w:rFonts w:hint="eastAsia" w:ascii="Times New Roman" w:hAnsi="Times New Roman"/>
          <w:sz w:val="20"/>
          <w:szCs w:val="20"/>
        </w:rPr>
        <w:t xml:space="preserve"> processing gain</w:t>
      </w:r>
      <w:bookmarkEnd w:id="6"/>
      <w:r>
        <w:rPr>
          <w:rFonts w:hint="eastAsia" w:ascii="Times New Roman" w:hAnsi="Times New Roman"/>
          <w:sz w:val="20"/>
          <w:szCs w:val="20"/>
        </w:rPr>
        <w:t xml:space="preserve"> because of higher PRS density.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For instance, the following figure on the left shows one of the comb-2 4-symbol pattern as defined in Rel-16 for DL PRS and the right one is an example of TD-OCC for comb-2. As shown in the two figures, both patterns occupy the same total number of RE, the power boosting is the same for two patterns. However, the comb-2 DL PRS with length-2 TD-OCC can support 2 PRS multiplexing factors at the same physical resources, which allows at least two fully overlapped PRS to be received at the same time.</w:t>
      </w:r>
    </w:p>
    <w:p>
      <w:pPr>
        <w:spacing w:before="180" w:beforeLines="50" w:after="180" w:afterLines="50" w:line="240" w:lineRule="auto"/>
        <w:jc w:val="center"/>
      </w:pPr>
      <w:r>
        <w:drawing>
          <wp:inline distT="0" distB="0" distL="114300" distR="114300">
            <wp:extent cx="3395345" cy="1885315"/>
            <wp:effectExtent l="0" t="0" r="1460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3395345" cy="1885315"/>
                    </a:xfrm>
                    <a:prstGeom prst="rect">
                      <a:avLst/>
                    </a:prstGeom>
                  </pic:spPr>
                </pic:pic>
              </a:graphicData>
            </a:graphic>
          </wp:inline>
        </w:drawing>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3 comb-2 4-symbol DL PRS vs comb-2 DL PRS with length-2 TD-OCC</w:t>
      </w:r>
    </w:p>
    <w:p>
      <w:pPr>
        <w:snapToGrid w:val="0"/>
        <w:spacing w:before="180" w:beforeLines="50" w:after="180" w:afterLines="50" w:line="240" w:lineRule="auto"/>
        <w:jc w:val="both"/>
        <w:rPr>
          <w:rFonts w:ascii="Times New Roman" w:hAnsi="Times New Roman"/>
          <w:i/>
          <w:iCs/>
          <w:sz w:val="20"/>
          <w:szCs w:val="20"/>
        </w:rPr>
      </w:pPr>
      <w:bookmarkStart w:id="7" w:name="OLE_LINK3"/>
      <w:r>
        <w:rPr>
          <w:rFonts w:hint="eastAsia" w:ascii="Times New Roman" w:hAnsi="Times New Roman"/>
          <w:b/>
          <w:bCs/>
          <w:i/>
          <w:iCs/>
          <w:sz w:val="20"/>
          <w:szCs w:val="20"/>
        </w:rPr>
        <w:t xml:space="preserve">Proposal 3: </w:t>
      </w:r>
      <w:r>
        <w:rPr>
          <w:rFonts w:hint="eastAsia" w:ascii="Times New Roman" w:hAnsi="Times New Roman"/>
          <w:i/>
          <w:iCs/>
          <w:sz w:val="20"/>
          <w:szCs w:val="20"/>
        </w:rPr>
        <w:t>To better manage the interference, introduce orthogonal cover code (OCC) for positioning reference signals can be considered in Rel-17.</w:t>
      </w:r>
    </w:p>
    <w:bookmarkEnd w:id="7"/>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Low latency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know, Rel-17 NR positioning requires stringent low latency, i.e 10ms or 100ms. </w:t>
      </w:r>
      <w:r>
        <w:rPr>
          <w:rFonts w:ascii="Times New Roman" w:hAnsi="Times New Roman"/>
          <w:sz w:val="20"/>
          <w:szCs w:val="20"/>
        </w:rPr>
        <w:t>L</w:t>
      </w:r>
      <w:r>
        <w:rPr>
          <w:rFonts w:hint="eastAsia" w:ascii="Times New Roman" w:hAnsi="Times New Roman"/>
          <w:sz w:val="20"/>
          <w:szCs w:val="20"/>
        </w:rPr>
        <w:t>atency reduction need</w:t>
      </w:r>
      <w:r>
        <w:rPr>
          <w:rFonts w:ascii="Times New Roman" w:hAnsi="Times New Roman"/>
          <w:sz w:val="20"/>
          <w:szCs w:val="20"/>
        </w:rPr>
        <w:t>s</w:t>
      </w:r>
      <w:r>
        <w:rPr>
          <w:rFonts w:hint="eastAsia" w:ascii="Times New Roman" w:hAnsi="Times New Roman"/>
          <w:sz w:val="20"/>
          <w:szCs w:val="20"/>
        </w:rPr>
        <w:t xml:space="preserve"> to</w:t>
      </w:r>
      <w:r>
        <w:rPr>
          <w:rFonts w:ascii="Times New Roman" w:hAnsi="Times New Roman"/>
          <w:sz w:val="20"/>
          <w:szCs w:val="20"/>
        </w:rPr>
        <w:t xml:space="preserve"> be</w:t>
      </w:r>
      <w:r>
        <w:rPr>
          <w:rFonts w:hint="eastAsia" w:ascii="Times New Roman" w:hAnsi="Times New Roman"/>
          <w:sz w:val="20"/>
          <w:szCs w:val="20"/>
        </w:rPr>
        <w:t xml:space="preserve"> considered from </w:t>
      </w:r>
      <w:r>
        <w:rPr>
          <w:rFonts w:ascii="Times New Roman" w:hAnsi="Times New Roman"/>
          <w:sz w:val="20"/>
          <w:szCs w:val="20"/>
        </w:rPr>
        <w:t xml:space="preserve">both </w:t>
      </w:r>
      <w:r>
        <w:rPr>
          <w:rFonts w:hint="eastAsia" w:ascii="Times New Roman" w:hAnsi="Times New Roman"/>
          <w:sz w:val="20"/>
          <w:szCs w:val="20"/>
        </w:rPr>
        <w:t>high-layer and physical layer perspective</w:t>
      </w:r>
      <w:r>
        <w:rPr>
          <w:rFonts w:ascii="Times New Roman" w:hAnsi="Times New Roman"/>
          <w:sz w:val="20"/>
          <w:szCs w:val="20"/>
        </w:rPr>
        <w:t>s</w:t>
      </w:r>
      <w:r>
        <w:rPr>
          <w:rFonts w:hint="eastAsia" w:ascii="Times New Roman" w:hAnsi="Times New Roman"/>
          <w:sz w:val="20"/>
          <w:szCs w:val="20"/>
        </w:rPr>
        <w:t xml:space="preserve">. Especially, physical layer latency is the </w:t>
      </w:r>
      <w:r>
        <w:rPr>
          <w:rFonts w:ascii="Times New Roman" w:hAnsi="Times New Roman"/>
          <w:sz w:val="20"/>
          <w:szCs w:val="20"/>
        </w:rPr>
        <w:t>major</w:t>
      </w:r>
      <w:r>
        <w:rPr>
          <w:rFonts w:hint="eastAsia" w:ascii="Times New Roman" w:hAnsi="Times New Roman"/>
          <w:sz w:val="20"/>
          <w:szCs w:val="20"/>
        </w:rPr>
        <w:t xml:space="preserve"> factor on end-to-end latency.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the existing NR Rel-16 positioning system, a downlink positioning reference signal (DL PRS) only supports periodic transmissions, resulting in certain disadvantages. For example, the DL PRS only supporting the periodic transmissions is </w:t>
      </w:r>
      <w:r>
        <w:rPr>
          <w:rFonts w:ascii="Times New Roman" w:hAnsi="Times New Roman"/>
          <w:sz w:val="20"/>
          <w:szCs w:val="20"/>
        </w:rPr>
        <w:t>neither</w:t>
      </w:r>
      <w:r>
        <w:rPr>
          <w:rFonts w:hint="eastAsia" w:ascii="Times New Roman" w:hAnsi="Times New Roman"/>
          <w:sz w:val="20"/>
          <w:szCs w:val="20"/>
        </w:rPr>
        <w:t xml:space="preserve"> resource</w:t>
      </w:r>
      <w:r>
        <w:rPr>
          <w:rFonts w:ascii="Times New Roman" w:hAnsi="Times New Roman"/>
          <w:sz w:val="20"/>
          <w:szCs w:val="20"/>
        </w:rPr>
        <w:t xml:space="preserve"> efficient nor</w:t>
      </w:r>
      <w:r>
        <w:rPr>
          <w:rFonts w:hint="eastAsia" w:ascii="Times New Roman" w:hAnsi="Times New Roman"/>
          <w:sz w:val="20"/>
          <w:szCs w:val="20"/>
        </w:rPr>
        <w:t xml:space="preserve"> power efficien</w:t>
      </w:r>
      <w:r>
        <w:rPr>
          <w:rFonts w:ascii="Times New Roman" w:hAnsi="Times New Roman"/>
          <w:sz w:val="20"/>
          <w:szCs w:val="20"/>
        </w:rPr>
        <w:t>t.</w:t>
      </w:r>
      <w:r>
        <w:rPr>
          <w:rFonts w:hint="eastAsia" w:ascii="Times New Roman" w:hAnsi="Times New Roman"/>
          <w:sz w:val="20"/>
          <w:szCs w:val="20"/>
        </w:rPr>
        <w:t xml:space="preserve"> </w:t>
      </w:r>
      <w:r>
        <w:rPr>
          <w:rFonts w:ascii="Times New Roman" w:hAnsi="Times New Roman"/>
          <w:sz w:val="20"/>
          <w:szCs w:val="20"/>
        </w:rPr>
        <w:t>It</w:t>
      </w:r>
      <w:r>
        <w:rPr>
          <w:rFonts w:hint="eastAsia" w:ascii="Times New Roman" w:hAnsi="Times New Roman"/>
          <w:sz w:val="20"/>
          <w:szCs w:val="20"/>
        </w:rPr>
        <w:t xml:space="preserve"> cannot adapt to </w:t>
      </w:r>
      <w:r>
        <w:rPr>
          <w:rFonts w:ascii="Times New Roman" w:hAnsi="Times New Roman"/>
          <w:sz w:val="20"/>
          <w:szCs w:val="20"/>
        </w:rPr>
        <w:t xml:space="preserve">channel variation due to UE </w:t>
      </w:r>
      <w:r>
        <w:rPr>
          <w:rFonts w:hint="eastAsia" w:ascii="Times New Roman" w:hAnsi="Times New Roman"/>
          <w:sz w:val="20"/>
          <w:szCs w:val="20"/>
        </w:rPr>
        <w:t>mobility. In addition, it</w:t>
      </w:r>
      <w:r>
        <w:rPr>
          <w:rFonts w:ascii="Times New Roman" w:hAnsi="Times New Roman"/>
          <w:sz w:val="20"/>
          <w:szCs w:val="20"/>
        </w:rPr>
        <w:t>’</w:t>
      </w:r>
      <w:r>
        <w:rPr>
          <w:rFonts w:hint="eastAsia" w:ascii="Times New Roman" w:hAnsi="Times New Roman"/>
          <w:sz w:val="20"/>
          <w:szCs w:val="20"/>
        </w:rPr>
        <w:t>s hard to meet temporary requirements of the UE, e.g. low latency positioning or instant higher positioning accuracy. Last but not least, the DL PRS can only be configured/triggered by core network through LPP protocol, which causes some unnecessary transmission latency.</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Based on the above discussion, some possible enhancements can be done to reduce positioning latency,</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Support low-layer PRS triggering. Similar to UL PRS defined in Rel-16, DL PRS can also be triggered by low-layer signaling.</w:t>
      </w:r>
    </w:p>
    <w:p>
      <w:pPr>
        <w:numPr>
          <w:ilvl w:val="0"/>
          <w:numId w:val="5"/>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Support low-layer positioning measurement report. Similar to CSI report, the positioning measurement report can also be transmitted by physical channels.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4: </w:t>
      </w:r>
      <w:r>
        <w:rPr>
          <w:rFonts w:hint="eastAsia" w:ascii="Times New Roman" w:hAnsi="Times New Roman"/>
          <w:i/>
          <w:iCs/>
          <w:sz w:val="20"/>
          <w:szCs w:val="20"/>
        </w:rPr>
        <w:t>To further reduce positioning latency, at least following enhancements should be considered,</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Support low-layer PRS triggering.</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Support low-layer positioning measurement report.</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addition, </w:t>
      </w:r>
      <w:r>
        <w:rPr>
          <w:rFonts w:ascii="Times New Roman" w:hAnsi="Times New Roman"/>
          <w:sz w:val="20"/>
          <w:szCs w:val="20"/>
        </w:rPr>
        <w:t xml:space="preserve">If </w:t>
      </w:r>
      <w:r>
        <w:rPr>
          <w:rFonts w:hint="eastAsia" w:ascii="Times New Roman" w:hAnsi="Times New Roman"/>
          <w:sz w:val="20"/>
          <w:szCs w:val="20"/>
        </w:rPr>
        <w:t>RS (including PRS and SRS) transmission and measurement report can be supported for UEs in RRC inactive or idle state</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t</w:t>
      </w:r>
      <w:r>
        <w:rPr>
          <w:rFonts w:hint="eastAsia" w:ascii="Times New Roman" w:hAnsi="Times New Roman"/>
          <w:sz w:val="20"/>
          <w:szCs w:val="20"/>
        </w:rPr>
        <w:t xml:space="preserve">he positioning latency will be reduced since UE does not need to wait until RRC is </w:t>
      </w:r>
      <w:r>
        <w:rPr>
          <w:rFonts w:ascii="Times New Roman" w:hAnsi="Times New Roman"/>
          <w:sz w:val="20"/>
          <w:szCs w:val="20"/>
        </w:rPr>
        <w:t>established</w:t>
      </w:r>
      <w:r>
        <w:rPr>
          <w:rFonts w:hint="eastAsia" w:ascii="Times New Roman" w:hAnsi="Times New Roman"/>
          <w:sz w:val="20"/>
          <w:szCs w:val="20"/>
        </w:rPr>
        <w:t xml:space="preserve">. Since power saving is very important for UEs in RRC inactive or idle state, UE assistant positioning solutions should be prioritized to avoid </w:t>
      </w:r>
      <w:r>
        <w:rPr>
          <w:rFonts w:ascii="Times New Roman" w:hAnsi="Times New Roman"/>
          <w:sz w:val="20"/>
          <w:szCs w:val="20"/>
        </w:rPr>
        <w:t>high</w:t>
      </w:r>
      <w:r>
        <w:rPr>
          <w:rFonts w:hint="eastAsia" w:ascii="Times New Roman" w:hAnsi="Times New Roman"/>
          <w:sz w:val="20"/>
          <w:szCs w:val="20"/>
        </w:rPr>
        <w:t xml:space="preserve"> complexity of positioning calculation at the UE side. </w:t>
      </w:r>
    </w:p>
    <w:p>
      <w:pPr>
        <w:numPr>
          <w:ilvl w:val="255"/>
          <w:numId w:val="0"/>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Since the signaling design in RRC inactive/idle state is much related to small data transmission in RRC inactive state which will be discussed in RAN2, the conclusion of that agenda in RAN2 can also be used for positioning.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5: </w:t>
      </w:r>
      <w:r>
        <w:rPr>
          <w:rFonts w:hint="eastAsia" w:ascii="Times New Roman" w:hAnsi="Times New Roman"/>
          <w:i/>
          <w:iCs/>
          <w:sz w:val="20"/>
          <w:szCs w:val="20"/>
        </w:rPr>
        <w:t xml:space="preserve">Consider RS (including PRS and SRS) transmission and PRS measurement report in RRC inactive/idle state. </w:t>
      </w:r>
    </w:p>
    <w:p>
      <w:pPr>
        <w:pStyle w:val="2"/>
        <w:snapToGrid w:val="0"/>
        <w:spacing w:before="180" w:beforeLines="50" w:after="180" w:afterLines="50"/>
        <w:ind w:left="431" w:hanging="431"/>
        <w:rPr>
          <w:rFonts w:ascii="Times New Roman" w:hAnsi="Times New Roman"/>
          <w:sz w:val="28"/>
          <w:lang w:val="en-US"/>
        </w:rPr>
      </w:pPr>
      <w:r>
        <w:rPr>
          <w:rFonts w:hint="eastAsia" w:ascii="Times New Roman" w:hAnsi="Times New Roman"/>
          <w:sz w:val="28"/>
          <w:lang w:val="en-US"/>
        </w:rPr>
        <w:t>Network calibration</w:t>
      </w:r>
    </w:p>
    <w:p>
      <w:pPr>
        <w:spacing w:before="180" w:beforeLines="50" w:after="180" w:afterLines="50" w:line="240" w:lineRule="auto"/>
        <w:jc w:val="center"/>
        <w:rPr>
          <w:sz w:val="21"/>
        </w:rPr>
      </w:pPr>
      <w:r>
        <w:rPr>
          <w:sz w:val="21"/>
        </w:rPr>
        <w:object>
          <v:shape id="_x0000_i1025" o:spt="75" type="#_x0000_t75" style="height:209.45pt;width:276.45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p>
    <w:p>
      <w:pPr>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Figure 4 network calibration procedures</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we all know, TDOA method requires tight synchronization between positioning nodes. But </w:t>
      </w:r>
      <w:r>
        <w:rPr>
          <w:rFonts w:ascii="Times New Roman" w:hAnsi="Times New Roman"/>
          <w:sz w:val="20"/>
          <w:szCs w:val="20"/>
        </w:rPr>
        <w:t>practically</w:t>
      </w:r>
      <w:r>
        <w:rPr>
          <w:rFonts w:hint="eastAsia" w:ascii="Times New Roman" w:hAnsi="Times New Roman"/>
          <w:sz w:val="20"/>
          <w:szCs w:val="20"/>
        </w:rPr>
        <w:t>, it</w:t>
      </w:r>
      <w:r>
        <w:rPr>
          <w:rFonts w:ascii="Times New Roman" w:hAnsi="Times New Roman"/>
          <w:sz w:val="20"/>
          <w:szCs w:val="20"/>
        </w:rPr>
        <w:t>’</w:t>
      </w:r>
      <w:r>
        <w:rPr>
          <w:rFonts w:hint="eastAsia" w:ascii="Times New Roman" w:hAnsi="Times New Roman"/>
          <w:sz w:val="20"/>
          <w:szCs w:val="20"/>
        </w:rPr>
        <w:t xml:space="preserve">s hard to ensure precise timing alignment between positioning nodes by current techniques, e.g. time service provided by GNSS. Moreover, the clock drift is another cause for synchronization errors. </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Therefore, synchronization calibration between positioning nodes might be necessary to further improve positioning accuracy in Rel-17. As an instance, the network can</w:t>
      </w:r>
      <w:r>
        <w:rPr>
          <w:rFonts w:ascii="Times New Roman" w:hAnsi="Times New Roman"/>
          <w:sz w:val="20"/>
          <w:szCs w:val="20"/>
        </w:rPr>
        <w:t xml:space="preserve"> configure a positioning node to be an anchor node and</w:t>
      </w:r>
      <w:r>
        <w:rPr>
          <w:rFonts w:hint="eastAsia" w:ascii="Times New Roman" w:hAnsi="Times New Roman"/>
          <w:sz w:val="20"/>
          <w:szCs w:val="20"/>
        </w:rPr>
        <w:t xml:space="preserve"> enable measurements between</w:t>
      </w:r>
      <w:r>
        <w:rPr>
          <w:rFonts w:ascii="Times New Roman" w:hAnsi="Times New Roman"/>
          <w:sz w:val="20"/>
          <w:szCs w:val="20"/>
        </w:rPr>
        <w:t xml:space="preserve"> any of other </w:t>
      </w:r>
      <w:r>
        <w:rPr>
          <w:rFonts w:hint="eastAsia" w:ascii="Times New Roman" w:hAnsi="Times New Roman"/>
          <w:sz w:val="20"/>
          <w:szCs w:val="20"/>
        </w:rPr>
        <w:t>positioning node</w:t>
      </w:r>
      <w:r>
        <w:rPr>
          <w:rFonts w:ascii="Times New Roman" w:hAnsi="Times New Roman"/>
          <w:sz w:val="20"/>
          <w:szCs w:val="20"/>
        </w:rPr>
        <w:t>s and this anchor node</w:t>
      </w:r>
      <w:r>
        <w:rPr>
          <w:rFonts w:hint="eastAsia" w:ascii="Times New Roman" w:hAnsi="Times New Roman"/>
          <w:sz w:val="20"/>
          <w:szCs w:val="20"/>
        </w:rPr>
        <w:t xml:space="preserve">. </w:t>
      </w:r>
      <w:r>
        <w:rPr>
          <w:rFonts w:ascii="Times New Roman" w:hAnsi="Times New Roman"/>
          <w:sz w:val="20"/>
          <w:szCs w:val="20"/>
        </w:rPr>
        <w:t>F</w:t>
      </w:r>
      <w:r>
        <w:rPr>
          <w:rFonts w:hint="eastAsia" w:ascii="Times New Roman" w:hAnsi="Times New Roman"/>
          <w:sz w:val="20"/>
          <w:szCs w:val="20"/>
        </w:rPr>
        <w:t>igure 4 illuminates a measurement procedure on anchor node and positioning nodes, i.e. the anchor node measures the RSTD value based on RS1 and RS2, then transmits the measurement for use in schedule entity on synchronization offset compensation.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6: </w:t>
      </w:r>
      <w:r>
        <w:rPr>
          <w:rFonts w:hint="eastAsia" w:ascii="Times New Roman" w:hAnsi="Times New Roman"/>
          <w:i/>
          <w:iCs/>
          <w:sz w:val="20"/>
          <w:szCs w:val="20"/>
        </w:rPr>
        <w:t>Enable network measurement to calibrate synchronization offset, e.g. support RSTD measurement between positioning nodes.</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Conclusions</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we discuss potential positioning enhancements. Based on the discussion, we have the following </w:t>
      </w:r>
      <w:r>
        <w:rPr>
          <w:rFonts w:hint="eastAsia" w:ascii="Times New Roman" w:hAnsi="Times New Roman"/>
          <w:sz w:val="20"/>
          <w:szCs w:val="20"/>
        </w:rPr>
        <w:t xml:space="preserve">observations and </w:t>
      </w:r>
      <w:r>
        <w:rPr>
          <w:rFonts w:ascii="Times New Roman" w:hAnsi="Times New Roman"/>
          <w:sz w:val="20"/>
          <w:szCs w:val="20"/>
        </w:rPr>
        <w:t>proposal</w:t>
      </w:r>
      <w:r>
        <w:rPr>
          <w:rFonts w:hint="eastAsia" w:ascii="Times New Roman" w:hAnsi="Times New Roman"/>
          <w:sz w:val="20"/>
          <w:szCs w:val="20"/>
        </w:rPr>
        <w:t>s</w:t>
      </w:r>
      <w:r>
        <w:rPr>
          <w:rFonts w:ascii="Times New Roman" w:hAnsi="Times New Roman"/>
          <w:sz w:val="20"/>
          <w:szCs w:val="20"/>
        </w:rPr>
        <w:t>,</w:t>
      </w:r>
    </w:p>
    <w:p>
      <w:pPr>
        <w:snapToGrid w:val="0"/>
        <w:spacing w:before="180" w:beforeLines="50" w:after="180" w:afterLines="50" w:line="240" w:lineRule="auto"/>
        <w:jc w:val="both"/>
        <w:rPr>
          <w:rFonts w:ascii="Times New Roman" w:hAnsi="Times New Roman"/>
          <w:i/>
          <w:iCs/>
          <w:sz w:val="20"/>
          <w:szCs w:val="20"/>
        </w:rPr>
      </w:pPr>
      <w:bookmarkStart w:id="8" w:name="OLE_LINK10"/>
      <w:bookmarkStart w:id="9" w:name="OLE_LINK11"/>
      <w:r>
        <w:rPr>
          <w:rFonts w:hint="eastAsia" w:ascii="Times New Roman" w:hAnsi="Times New Roman"/>
          <w:b/>
          <w:bCs/>
          <w:i/>
          <w:iCs/>
          <w:sz w:val="20"/>
          <w:szCs w:val="20"/>
        </w:rPr>
        <w:t>Observation 1:</w:t>
      </w:r>
      <w:r>
        <w:rPr>
          <w:rFonts w:hint="eastAsia" w:ascii="Times New Roman" w:hAnsi="Times New Roman"/>
          <w:sz w:val="20"/>
          <w:szCs w:val="20"/>
        </w:rPr>
        <w:t xml:space="preserve"> </w:t>
      </w:r>
      <w:r>
        <w:rPr>
          <w:rFonts w:hint="eastAsia" w:ascii="Times New Roman" w:hAnsi="Times New Roman"/>
          <w:i/>
          <w:iCs/>
          <w:sz w:val="20"/>
          <w:szCs w:val="20"/>
        </w:rPr>
        <w:t>Timing measurements based on both continuous and non</w:t>
      </w:r>
      <w:r>
        <w:rPr>
          <w:rFonts w:ascii="Times New Roman" w:hAnsi="Times New Roman"/>
          <w:i/>
          <w:iCs/>
          <w:sz w:val="20"/>
          <w:szCs w:val="20"/>
        </w:rPr>
        <w:t>-</w:t>
      </w:r>
      <w:r>
        <w:rPr>
          <w:rFonts w:hint="eastAsia" w:ascii="Times New Roman" w:hAnsi="Times New Roman"/>
          <w:i/>
          <w:iCs/>
          <w:sz w:val="20"/>
          <w:szCs w:val="20"/>
        </w:rPr>
        <w:t xml:space="preserve">continuous frequency units </w:t>
      </w:r>
      <w:r>
        <w:rPr>
          <w:rFonts w:ascii="Times New Roman" w:hAnsi="Times New Roman"/>
          <w:i/>
          <w:iCs/>
          <w:sz w:val="20"/>
          <w:szCs w:val="20"/>
        </w:rPr>
        <w:t>can</w:t>
      </w:r>
      <w:r>
        <w:rPr>
          <w:rFonts w:hint="eastAsia" w:ascii="Times New Roman" w:hAnsi="Times New Roman"/>
          <w:i/>
          <w:iCs/>
          <w:sz w:val="20"/>
          <w:szCs w:val="20"/>
        </w:rPr>
        <w:t xml:space="preserve"> improve TOA estimation accuracy and lead to better positioning accuracy.</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1:</w:t>
      </w:r>
      <w:r>
        <w:rPr>
          <w:rFonts w:hint="eastAsia" w:ascii="Times New Roman" w:hAnsi="Times New Roman"/>
          <w:i/>
          <w:iCs/>
          <w:sz w:val="20"/>
          <w:szCs w:val="20"/>
        </w:rPr>
        <w:t xml:space="preserve"> Rel-17 enhancements should consider joint measurement based on different frequency units, e.g. allow joint measurement based on DL PRS from different positioning frequency layers.</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2: </w:t>
      </w:r>
      <w:r>
        <w:rPr>
          <w:rFonts w:hint="eastAsia" w:ascii="Times New Roman" w:hAnsi="Times New Roman"/>
          <w:i/>
          <w:iCs/>
          <w:sz w:val="20"/>
          <w:szCs w:val="20"/>
        </w:rPr>
        <w:t xml:space="preserve">Network can deliver some prior channel information to UE, the information will assist UE to </w:t>
      </w:r>
      <w:r>
        <w:rPr>
          <w:rFonts w:ascii="Times New Roman" w:hAnsi="Times New Roman"/>
          <w:i/>
          <w:iCs/>
          <w:sz w:val="20"/>
          <w:szCs w:val="20"/>
        </w:rPr>
        <w:t>perform better positioning</w:t>
      </w:r>
      <w:r>
        <w:rPr>
          <w:rFonts w:hint="eastAsia" w:ascii="Times New Roman" w:hAnsi="Times New Roman"/>
          <w:i/>
          <w:iCs/>
          <w:sz w:val="20"/>
          <w:szCs w:val="20"/>
        </w:rPr>
        <w:t>.</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3: </w:t>
      </w:r>
      <w:r>
        <w:rPr>
          <w:rFonts w:hint="eastAsia" w:ascii="Times New Roman" w:hAnsi="Times New Roman"/>
          <w:i/>
          <w:iCs/>
          <w:sz w:val="20"/>
          <w:szCs w:val="20"/>
        </w:rPr>
        <w:t>To better manage the interference, introduce orthogonal cover code (OCC) for positioning reference signals can be considered in Rel-17.</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4: </w:t>
      </w:r>
      <w:r>
        <w:rPr>
          <w:rFonts w:hint="eastAsia" w:ascii="Times New Roman" w:hAnsi="Times New Roman"/>
          <w:i/>
          <w:iCs/>
          <w:sz w:val="20"/>
          <w:szCs w:val="20"/>
        </w:rPr>
        <w:t>To further reduce positioning latency, at least following enhancements should be considered,</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Support low-layer PRS triggering.</w:t>
      </w:r>
    </w:p>
    <w:p>
      <w:pPr>
        <w:numPr>
          <w:ilvl w:val="0"/>
          <w:numId w:val="5"/>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Support low-layer positioning measurement report.</w:t>
      </w:r>
    </w:p>
    <w:p>
      <w:pPr>
        <w:snapToGrid w:val="0"/>
        <w:spacing w:before="180" w:beforeLines="50" w:after="180" w:afterLines="50" w:line="240" w:lineRule="auto"/>
        <w:jc w:val="both"/>
        <w:rPr>
          <w:rFonts w:ascii="Times New Roman" w:hAnsi="Times New Roman"/>
          <w:b/>
          <w:bCs/>
          <w:i/>
          <w:iCs/>
          <w:sz w:val="20"/>
          <w:szCs w:val="20"/>
        </w:rPr>
      </w:pPr>
      <w:r>
        <w:rPr>
          <w:rFonts w:hint="eastAsia" w:ascii="Times New Roman" w:hAnsi="Times New Roman"/>
          <w:b/>
          <w:bCs/>
          <w:i/>
          <w:iCs/>
          <w:sz w:val="20"/>
          <w:szCs w:val="20"/>
        </w:rPr>
        <w:t xml:space="preserve">Proposal 5: </w:t>
      </w:r>
      <w:r>
        <w:rPr>
          <w:rFonts w:hint="eastAsia" w:ascii="Times New Roman" w:hAnsi="Times New Roman"/>
          <w:i/>
          <w:iCs/>
          <w:sz w:val="20"/>
          <w:szCs w:val="20"/>
        </w:rPr>
        <w:t>Consider RS (including PRS and SRS) transmission and PRS measurement report in RRC inactive/idle state.</w:t>
      </w:r>
      <w:r>
        <w:rPr>
          <w:rFonts w:hint="eastAsia" w:ascii="Times New Roman" w:hAnsi="Times New Roman"/>
          <w:sz w:val="20"/>
          <w:szCs w:val="20"/>
        </w:rPr>
        <w:t xml:space="preserve"> </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6: </w:t>
      </w:r>
      <w:r>
        <w:rPr>
          <w:rFonts w:hint="eastAsia" w:ascii="Times New Roman" w:hAnsi="Times New Roman"/>
          <w:i/>
          <w:iCs/>
          <w:sz w:val="20"/>
          <w:szCs w:val="20"/>
        </w:rPr>
        <w:t>Enable network measurement to calibrate synchronization offset, e.g. support RSTD measurement between positioning nodes.</w:t>
      </w:r>
    </w:p>
    <w:p>
      <w:pPr>
        <w:pStyle w:val="2"/>
        <w:snapToGrid w:val="0"/>
        <w:spacing w:before="180" w:beforeLines="50" w:after="180" w:afterLines="50"/>
        <w:ind w:left="431" w:hanging="431"/>
        <w:rPr>
          <w:rFonts w:ascii="Times New Roman" w:hAnsi="Times New Roman"/>
          <w:sz w:val="28"/>
          <w:lang w:val="en-US"/>
        </w:rPr>
      </w:pPr>
      <w:r>
        <w:rPr>
          <w:rFonts w:ascii="Times New Roman" w:hAnsi="Times New Roman"/>
          <w:sz w:val="28"/>
          <w:lang w:val="en-US"/>
        </w:rPr>
        <w:t>References</w:t>
      </w:r>
      <w:bookmarkStart w:id="10" w:name="_GoBack"/>
      <w:bookmarkEnd w:id="10"/>
    </w:p>
    <w:bookmarkEnd w:id="8"/>
    <w:bookmarkEnd w:id="9"/>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RP-193237, New SID on NR Positioning Enhancements, Qualcomm Incorporated</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R1-2005462</w:t>
      </w:r>
      <w:r>
        <w:rPr>
          <w:rFonts w:hint="eastAsia" w:ascii="Times New Roman" w:hAnsi="Times New Roman"/>
          <w:sz w:val="20"/>
          <w:szCs w:val="20"/>
        </w:rPr>
        <w:t>, Evaluation assumptions for NR positioning enhancements, ZTE</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R1-2005463</w:t>
      </w:r>
      <w:r>
        <w:rPr>
          <w:rFonts w:hint="eastAsia" w:ascii="Times New Roman" w:hAnsi="Times New Roman"/>
          <w:sz w:val="20"/>
          <w:szCs w:val="20"/>
        </w:rPr>
        <w:t>, Evaluation results based on NR Rel-16 positioning, ZTE</w:t>
      </w:r>
    </w:p>
    <w:p>
      <w:pPr>
        <w:numPr>
          <w:ilvl w:val="0"/>
          <w:numId w:val="6"/>
        </w:numPr>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R1-2005465</w:t>
      </w:r>
      <w:r>
        <w:rPr>
          <w:rFonts w:hint="eastAsia" w:ascii="Times New Roman" w:hAnsi="Times New Roman"/>
          <w:sz w:val="20"/>
          <w:szCs w:val="20"/>
        </w:rPr>
        <w:t xml:space="preserve">, Channel state estimation based on prior channel information, </w:t>
      </w:r>
    </w:p>
    <w:p>
      <w:pPr>
        <w:snapToGrid w:val="0"/>
        <w:spacing w:after="0" w:line="240" w:lineRule="auto"/>
        <w:jc w:val="both"/>
        <w:rPr>
          <w:rFonts w:ascii="Times New Roman" w:hAnsi="Times New Roman"/>
          <w:sz w:val="20"/>
          <w:szCs w:val="20"/>
        </w:rPr>
      </w:pPr>
    </w:p>
    <w:p>
      <w:pPr>
        <w:snapToGrid w:val="0"/>
        <w:spacing w:after="0" w:line="240" w:lineRule="auto"/>
        <w:jc w:val="both"/>
        <w:rPr>
          <w:rFonts w:ascii="Times New Roman" w:hAnsi="Times New Roman"/>
          <w:sz w:val="20"/>
          <w:szCs w:val="20"/>
        </w:rPr>
      </w:pPr>
    </w:p>
    <w:p>
      <w:pPr>
        <w:snapToGrid w:val="0"/>
        <w:spacing w:after="0" w:line="240" w:lineRule="auto"/>
        <w:jc w:val="both"/>
        <w:rPr>
          <w:rFonts w:ascii="Times New Roman" w:hAnsi="Times New Roman"/>
          <w:sz w:val="20"/>
          <w:szCs w:val="20"/>
          <w:lang w:val="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17893E"/>
    <w:multiLevelType w:val="singleLevel"/>
    <w:tmpl w:val="B317893E"/>
    <w:lvl w:ilvl="0" w:tentative="0">
      <w:start w:val="1"/>
      <w:numFmt w:val="decimal"/>
      <w:suff w:val="space"/>
      <w:lvlText w:val="[%1]"/>
      <w:lvlJc w:val="left"/>
    </w:lvl>
  </w:abstractNum>
  <w:abstractNum w:abstractNumId="1">
    <w:nsid w:val="C8EC81ED"/>
    <w:multiLevelType w:val="singleLevel"/>
    <w:tmpl w:val="C8EC81ED"/>
    <w:lvl w:ilvl="0" w:tentative="0">
      <w:start w:val="1"/>
      <w:numFmt w:val="bullet"/>
      <w:lvlText w:val="−"/>
      <w:lvlJc w:val="left"/>
      <w:pPr>
        <w:tabs>
          <w:tab w:val="left" w:pos="420"/>
        </w:tabs>
        <w:ind w:left="840" w:hanging="420"/>
      </w:pPr>
      <w:rPr>
        <w:rFonts w:hint="default" w:ascii="Arial" w:hAnsi="Arial" w:cs="Arial"/>
      </w:rPr>
    </w:lvl>
  </w:abstractNum>
  <w:abstractNum w:abstractNumId="2">
    <w:nsid w:val="2664DEFC"/>
    <w:multiLevelType w:val="singleLevel"/>
    <w:tmpl w:val="2664DEFC"/>
    <w:lvl w:ilvl="0" w:tentative="0">
      <w:start w:val="1"/>
      <w:numFmt w:val="lowerLetter"/>
      <w:lvlText w:val="%1."/>
      <w:lvlJc w:val="left"/>
      <w:pPr>
        <w:tabs>
          <w:tab w:val="left" w:pos="840"/>
        </w:tabs>
        <w:ind w:left="1265" w:hanging="425"/>
      </w:pPr>
      <w:rPr>
        <w:rFonts w:hint="default"/>
      </w:rPr>
    </w:lvl>
  </w:abstractNum>
  <w:abstractNum w:abstractNumId="3">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7CB0239B"/>
    <w:multiLevelType w:val="singleLevel"/>
    <w:tmpl w:val="7CB0239B"/>
    <w:lvl w:ilvl="0" w:tentative="0">
      <w:start w:val="1"/>
      <w:numFmt w:val="bullet"/>
      <w:lvlText w:val="−"/>
      <w:lvlJc w:val="left"/>
      <w:pPr>
        <w:tabs>
          <w:tab w:val="left" w:pos="420"/>
        </w:tabs>
        <w:ind w:left="840" w:hanging="420"/>
      </w:pPr>
      <w:rPr>
        <w:rFonts w:hint="default" w:ascii="Arial" w:hAnsi="Arial" w:cs="Arial"/>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val="1"/>
  <w:documentProtection w:enforcement="0"/>
  <w:defaultTabStop w:val="720"/>
  <w:hyphenationZone w:val="425"/>
  <w:drawingGridHorizontalSpacing w:val="11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FDF"/>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13"/>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38F"/>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2B5"/>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3D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0A"/>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AC1"/>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71"/>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EC0"/>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87E"/>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3F"/>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3BE"/>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3D5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89B"/>
    <w:rsid w:val="002F0C48"/>
    <w:rsid w:val="002F0E39"/>
    <w:rsid w:val="002F122C"/>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0EF7"/>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52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1E6"/>
    <w:rsid w:val="0039021E"/>
    <w:rsid w:val="0039041A"/>
    <w:rsid w:val="003906EF"/>
    <w:rsid w:val="003908BC"/>
    <w:rsid w:val="00390D2F"/>
    <w:rsid w:val="00390D93"/>
    <w:rsid w:val="00390F2A"/>
    <w:rsid w:val="00391454"/>
    <w:rsid w:val="00391BE9"/>
    <w:rsid w:val="00391D99"/>
    <w:rsid w:val="00392021"/>
    <w:rsid w:val="00392119"/>
    <w:rsid w:val="003923E8"/>
    <w:rsid w:val="0039240F"/>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58C"/>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45"/>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6D5"/>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3B9"/>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C8"/>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687"/>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010"/>
    <w:rsid w:val="004D1299"/>
    <w:rsid w:val="004D1732"/>
    <w:rsid w:val="004D1853"/>
    <w:rsid w:val="004D1924"/>
    <w:rsid w:val="004D1C15"/>
    <w:rsid w:val="004D1E12"/>
    <w:rsid w:val="004D29BF"/>
    <w:rsid w:val="004D2A56"/>
    <w:rsid w:val="004D2DB2"/>
    <w:rsid w:val="004D2E99"/>
    <w:rsid w:val="004D3177"/>
    <w:rsid w:val="004D35AD"/>
    <w:rsid w:val="004D3BF2"/>
    <w:rsid w:val="004D3DAC"/>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C88"/>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882"/>
    <w:rsid w:val="00503A44"/>
    <w:rsid w:val="00503AAE"/>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B19"/>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D7"/>
    <w:rsid w:val="00574827"/>
    <w:rsid w:val="005748FB"/>
    <w:rsid w:val="00574D67"/>
    <w:rsid w:val="00575307"/>
    <w:rsid w:val="00575363"/>
    <w:rsid w:val="0057552F"/>
    <w:rsid w:val="005755AC"/>
    <w:rsid w:val="00575610"/>
    <w:rsid w:val="005756F0"/>
    <w:rsid w:val="005758BC"/>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C71"/>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727"/>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38"/>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99"/>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72F"/>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770"/>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98E"/>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85C"/>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2D3"/>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2BB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4C5"/>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CA3"/>
    <w:rsid w:val="007B2EF3"/>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14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9E"/>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0A6"/>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927"/>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03"/>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0D9F"/>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4C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595"/>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8BA"/>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BAB"/>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20A"/>
    <w:rsid w:val="00AF789D"/>
    <w:rsid w:val="00AF79BF"/>
    <w:rsid w:val="00AF7CD0"/>
    <w:rsid w:val="00B0010A"/>
    <w:rsid w:val="00B005CE"/>
    <w:rsid w:val="00B006CC"/>
    <w:rsid w:val="00B00850"/>
    <w:rsid w:val="00B00AE5"/>
    <w:rsid w:val="00B00BE9"/>
    <w:rsid w:val="00B00D5B"/>
    <w:rsid w:val="00B00DC6"/>
    <w:rsid w:val="00B014E9"/>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627"/>
    <w:rsid w:val="00B33CE3"/>
    <w:rsid w:val="00B34531"/>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BDD"/>
    <w:rsid w:val="00B77E56"/>
    <w:rsid w:val="00B80581"/>
    <w:rsid w:val="00B8062C"/>
    <w:rsid w:val="00B80940"/>
    <w:rsid w:val="00B80C6F"/>
    <w:rsid w:val="00B80D84"/>
    <w:rsid w:val="00B80D99"/>
    <w:rsid w:val="00B815B7"/>
    <w:rsid w:val="00B8162A"/>
    <w:rsid w:val="00B816F2"/>
    <w:rsid w:val="00B81A85"/>
    <w:rsid w:val="00B81DFD"/>
    <w:rsid w:val="00B824C3"/>
    <w:rsid w:val="00B82C9E"/>
    <w:rsid w:val="00B82E9E"/>
    <w:rsid w:val="00B831FD"/>
    <w:rsid w:val="00B833D6"/>
    <w:rsid w:val="00B83410"/>
    <w:rsid w:val="00B83482"/>
    <w:rsid w:val="00B838D9"/>
    <w:rsid w:val="00B839D2"/>
    <w:rsid w:val="00B83C27"/>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6AF"/>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BF7EF6"/>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5D64"/>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855"/>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37E"/>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D68"/>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107"/>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695"/>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00B"/>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1C3"/>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D49"/>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A26"/>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0B3"/>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78C"/>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3DC"/>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AF3"/>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3DA4"/>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46B5"/>
    <w:rsid w:val="02410A4C"/>
    <w:rsid w:val="024D3362"/>
    <w:rsid w:val="02525FDE"/>
    <w:rsid w:val="0258068C"/>
    <w:rsid w:val="0266047F"/>
    <w:rsid w:val="026B4AEA"/>
    <w:rsid w:val="02746FAE"/>
    <w:rsid w:val="027E61C3"/>
    <w:rsid w:val="02816D9C"/>
    <w:rsid w:val="0286306C"/>
    <w:rsid w:val="02875AD4"/>
    <w:rsid w:val="028C43CB"/>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6701A"/>
    <w:rsid w:val="04F8221A"/>
    <w:rsid w:val="04FC5709"/>
    <w:rsid w:val="051B5E2D"/>
    <w:rsid w:val="051D7898"/>
    <w:rsid w:val="0520754F"/>
    <w:rsid w:val="05211489"/>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2571A"/>
    <w:rsid w:val="060A57DB"/>
    <w:rsid w:val="060B74B5"/>
    <w:rsid w:val="06143280"/>
    <w:rsid w:val="06161D00"/>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5009"/>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E4414A"/>
    <w:rsid w:val="06E84D75"/>
    <w:rsid w:val="06EB2F6E"/>
    <w:rsid w:val="06F01D0C"/>
    <w:rsid w:val="06F0680F"/>
    <w:rsid w:val="06F435BD"/>
    <w:rsid w:val="06F55AAE"/>
    <w:rsid w:val="070906C4"/>
    <w:rsid w:val="07114B7A"/>
    <w:rsid w:val="07186D56"/>
    <w:rsid w:val="0721733B"/>
    <w:rsid w:val="07251E9C"/>
    <w:rsid w:val="072B2FCC"/>
    <w:rsid w:val="0737326C"/>
    <w:rsid w:val="073778E7"/>
    <w:rsid w:val="07487206"/>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173FC"/>
    <w:rsid w:val="07A51428"/>
    <w:rsid w:val="07A55451"/>
    <w:rsid w:val="07AB3A30"/>
    <w:rsid w:val="07BC2EEE"/>
    <w:rsid w:val="07BD0EBD"/>
    <w:rsid w:val="07BE196D"/>
    <w:rsid w:val="07C019DD"/>
    <w:rsid w:val="07C14B9B"/>
    <w:rsid w:val="07C22840"/>
    <w:rsid w:val="07C45A94"/>
    <w:rsid w:val="07C61F88"/>
    <w:rsid w:val="07C864F2"/>
    <w:rsid w:val="07C87270"/>
    <w:rsid w:val="07C92F3E"/>
    <w:rsid w:val="07D05F75"/>
    <w:rsid w:val="07D17AEF"/>
    <w:rsid w:val="07D24E2A"/>
    <w:rsid w:val="07D36112"/>
    <w:rsid w:val="07D9133A"/>
    <w:rsid w:val="07DB7CB4"/>
    <w:rsid w:val="07E80F0B"/>
    <w:rsid w:val="07E85037"/>
    <w:rsid w:val="07E9446A"/>
    <w:rsid w:val="07EA3399"/>
    <w:rsid w:val="07EC19F5"/>
    <w:rsid w:val="07EF7092"/>
    <w:rsid w:val="07F06E95"/>
    <w:rsid w:val="07F62E9A"/>
    <w:rsid w:val="07FA5E03"/>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B0136"/>
    <w:rsid w:val="08FF6821"/>
    <w:rsid w:val="090002E4"/>
    <w:rsid w:val="090112DD"/>
    <w:rsid w:val="0904419D"/>
    <w:rsid w:val="09093B8E"/>
    <w:rsid w:val="090E5E0E"/>
    <w:rsid w:val="09233A88"/>
    <w:rsid w:val="09256F9F"/>
    <w:rsid w:val="0926699A"/>
    <w:rsid w:val="092A6DE7"/>
    <w:rsid w:val="092D43FA"/>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A2D1D"/>
    <w:rsid w:val="09EB7ACF"/>
    <w:rsid w:val="09F019FA"/>
    <w:rsid w:val="09F27747"/>
    <w:rsid w:val="09F54E7B"/>
    <w:rsid w:val="0A03095D"/>
    <w:rsid w:val="0A031353"/>
    <w:rsid w:val="0A090E68"/>
    <w:rsid w:val="0A0F1C7A"/>
    <w:rsid w:val="0A0F75F4"/>
    <w:rsid w:val="0A265C5E"/>
    <w:rsid w:val="0A3A062B"/>
    <w:rsid w:val="0A3C576A"/>
    <w:rsid w:val="0A3F2D2D"/>
    <w:rsid w:val="0A47596A"/>
    <w:rsid w:val="0A4F006D"/>
    <w:rsid w:val="0A545C1F"/>
    <w:rsid w:val="0A6A17FC"/>
    <w:rsid w:val="0A6F7D1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82B04"/>
    <w:rsid w:val="0BAA4E39"/>
    <w:rsid w:val="0BAC469F"/>
    <w:rsid w:val="0BB95B1E"/>
    <w:rsid w:val="0BBA5AE1"/>
    <w:rsid w:val="0BBC6C1A"/>
    <w:rsid w:val="0BC20CC4"/>
    <w:rsid w:val="0BC26E21"/>
    <w:rsid w:val="0BC51EE4"/>
    <w:rsid w:val="0BC83BB1"/>
    <w:rsid w:val="0BCB25EE"/>
    <w:rsid w:val="0BCB744C"/>
    <w:rsid w:val="0BCB7DEA"/>
    <w:rsid w:val="0BCE580E"/>
    <w:rsid w:val="0BD4298E"/>
    <w:rsid w:val="0BD62C0F"/>
    <w:rsid w:val="0BDA3FDB"/>
    <w:rsid w:val="0BDE6226"/>
    <w:rsid w:val="0BE879AE"/>
    <w:rsid w:val="0BEC24ED"/>
    <w:rsid w:val="0BED5C90"/>
    <w:rsid w:val="0C055D2C"/>
    <w:rsid w:val="0C1232A8"/>
    <w:rsid w:val="0C1B0491"/>
    <w:rsid w:val="0C1B4521"/>
    <w:rsid w:val="0C2343CE"/>
    <w:rsid w:val="0C293F71"/>
    <w:rsid w:val="0C426C85"/>
    <w:rsid w:val="0C432D86"/>
    <w:rsid w:val="0C4E63B2"/>
    <w:rsid w:val="0C4F69BD"/>
    <w:rsid w:val="0C5013FC"/>
    <w:rsid w:val="0C574E9F"/>
    <w:rsid w:val="0C5860FB"/>
    <w:rsid w:val="0C594881"/>
    <w:rsid w:val="0C596C01"/>
    <w:rsid w:val="0C5E4639"/>
    <w:rsid w:val="0C6F7D6D"/>
    <w:rsid w:val="0C7A2965"/>
    <w:rsid w:val="0C884ACA"/>
    <w:rsid w:val="0C8935B7"/>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214450"/>
    <w:rsid w:val="1046747A"/>
    <w:rsid w:val="104F503B"/>
    <w:rsid w:val="106104D8"/>
    <w:rsid w:val="10614B4D"/>
    <w:rsid w:val="106807AB"/>
    <w:rsid w:val="10697106"/>
    <w:rsid w:val="106D07A5"/>
    <w:rsid w:val="10766BB7"/>
    <w:rsid w:val="1079125F"/>
    <w:rsid w:val="10795FF0"/>
    <w:rsid w:val="107E7E13"/>
    <w:rsid w:val="108065DC"/>
    <w:rsid w:val="108D1F6F"/>
    <w:rsid w:val="108E6FAF"/>
    <w:rsid w:val="109B3B87"/>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12714C"/>
    <w:rsid w:val="11130EB6"/>
    <w:rsid w:val="11174D87"/>
    <w:rsid w:val="111A6A63"/>
    <w:rsid w:val="1121026D"/>
    <w:rsid w:val="11254494"/>
    <w:rsid w:val="11262D96"/>
    <w:rsid w:val="112D485F"/>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2612B"/>
    <w:rsid w:val="11B7574C"/>
    <w:rsid w:val="11BA75D3"/>
    <w:rsid w:val="11BB36BD"/>
    <w:rsid w:val="11C16227"/>
    <w:rsid w:val="11C350F3"/>
    <w:rsid w:val="11C50404"/>
    <w:rsid w:val="11C5334A"/>
    <w:rsid w:val="11C8195E"/>
    <w:rsid w:val="11C93722"/>
    <w:rsid w:val="11CA0DD9"/>
    <w:rsid w:val="11CF5D72"/>
    <w:rsid w:val="11D617CC"/>
    <w:rsid w:val="11D76D15"/>
    <w:rsid w:val="11D8124F"/>
    <w:rsid w:val="11DE005C"/>
    <w:rsid w:val="11DE3EEA"/>
    <w:rsid w:val="11DF104E"/>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3C71"/>
    <w:rsid w:val="12325D1D"/>
    <w:rsid w:val="1232730A"/>
    <w:rsid w:val="123867FA"/>
    <w:rsid w:val="123873C1"/>
    <w:rsid w:val="12414577"/>
    <w:rsid w:val="12455CAD"/>
    <w:rsid w:val="124708F9"/>
    <w:rsid w:val="12497908"/>
    <w:rsid w:val="124A1FFD"/>
    <w:rsid w:val="12540DA1"/>
    <w:rsid w:val="125B084E"/>
    <w:rsid w:val="12766947"/>
    <w:rsid w:val="127709FC"/>
    <w:rsid w:val="127E6792"/>
    <w:rsid w:val="127F52A7"/>
    <w:rsid w:val="128301BF"/>
    <w:rsid w:val="128303BF"/>
    <w:rsid w:val="129C4B1E"/>
    <w:rsid w:val="12A13BDA"/>
    <w:rsid w:val="12A142E5"/>
    <w:rsid w:val="12A8272F"/>
    <w:rsid w:val="12AC6C59"/>
    <w:rsid w:val="12AE2A22"/>
    <w:rsid w:val="12B209E5"/>
    <w:rsid w:val="12B43E24"/>
    <w:rsid w:val="12C336A4"/>
    <w:rsid w:val="12C444E1"/>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E402F"/>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C41A2"/>
    <w:rsid w:val="135D0726"/>
    <w:rsid w:val="13667089"/>
    <w:rsid w:val="137F2E1F"/>
    <w:rsid w:val="13834E54"/>
    <w:rsid w:val="138C3BB4"/>
    <w:rsid w:val="138E21E8"/>
    <w:rsid w:val="13A46633"/>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0DDE"/>
    <w:rsid w:val="145075DE"/>
    <w:rsid w:val="145822B7"/>
    <w:rsid w:val="14654D1B"/>
    <w:rsid w:val="14687805"/>
    <w:rsid w:val="146B1CFB"/>
    <w:rsid w:val="146D65F1"/>
    <w:rsid w:val="147C4CAE"/>
    <w:rsid w:val="149C2E77"/>
    <w:rsid w:val="14A5629F"/>
    <w:rsid w:val="14B3042E"/>
    <w:rsid w:val="14C453B3"/>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E577C7"/>
    <w:rsid w:val="15EA10AD"/>
    <w:rsid w:val="15EB18DC"/>
    <w:rsid w:val="15F04781"/>
    <w:rsid w:val="160856FA"/>
    <w:rsid w:val="160A3E2E"/>
    <w:rsid w:val="161409A3"/>
    <w:rsid w:val="161971DA"/>
    <w:rsid w:val="163E0BDC"/>
    <w:rsid w:val="164129F4"/>
    <w:rsid w:val="16446CE1"/>
    <w:rsid w:val="16486C96"/>
    <w:rsid w:val="16570F3D"/>
    <w:rsid w:val="16572EE6"/>
    <w:rsid w:val="165F0C11"/>
    <w:rsid w:val="16660F5F"/>
    <w:rsid w:val="166A6944"/>
    <w:rsid w:val="166D0B60"/>
    <w:rsid w:val="16764363"/>
    <w:rsid w:val="167F4E63"/>
    <w:rsid w:val="16837FDA"/>
    <w:rsid w:val="1684192E"/>
    <w:rsid w:val="168B1464"/>
    <w:rsid w:val="168E0B29"/>
    <w:rsid w:val="1698607C"/>
    <w:rsid w:val="16A6025D"/>
    <w:rsid w:val="16A9449F"/>
    <w:rsid w:val="16AD2E93"/>
    <w:rsid w:val="16AE155D"/>
    <w:rsid w:val="16B60E24"/>
    <w:rsid w:val="16B95052"/>
    <w:rsid w:val="16C0346B"/>
    <w:rsid w:val="16C44A98"/>
    <w:rsid w:val="16C91F5D"/>
    <w:rsid w:val="16CB3473"/>
    <w:rsid w:val="16CF015B"/>
    <w:rsid w:val="16D845B0"/>
    <w:rsid w:val="16EF5D8C"/>
    <w:rsid w:val="16F06A95"/>
    <w:rsid w:val="16F74E68"/>
    <w:rsid w:val="16FE147F"/>
    <w:rsid w:val="17036CB3"/>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AE6614"/>
    <w:rsid w:val="17B20D61"/>
    <w:rsid w:val="17BD1567"/>
    <w:rsid w:val="17BE4E82"/>
    <w:rsid w:val="17C13630"/>
    <w:rsid w:val="17C142EC"/>
    <w:rsid w:val="17C1545E"/>
    <w:rsid w:val="17DE3E41"/>
    <w:rsid w:val="17DF6C02"/>
    <w:rsid w:val="17E12765"/>
    <w:rsid w:val="17F118FB"/>
    <w:rsid w:val="17FC3372"/>
    <w:rsid w:val="17FE4B96"/>
    <w:rsid w:val="18015BFF"/>
    <w:rsid w:val="18023379"/>
    <w:rsid w:val="1807600A"/>
    <w:rsid w:val="180B4394"/>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A0F9E"/>
    <w:rsid w:val="18BD53ED"/>
    <w:rsid w:val="18C967A6"/>
    <w:rsid w:val="18CC367D"/>
    <w:rsid w:val="18CF54E2"/>
    <w:rsid w:val="18D51E03"/>
    <w:rsid w:val="18DC2029"/>
    <w:rsid w:val="18DC6725"/>
    <w:rsid w:val="18DF2E4F"/>
    <w:rsid w:val="18E51EDB"/>
    <w:rsid w:val="18EC1DAC"/>
    <w:rsid w:val="18EC69AA"/>
    <w:rsid w:val="18F03C02"/>
    <w:rsid w:val="18F44372"/>
    <w:rsid w:val="18F73D37"/>
    <w:rsid w:val="19087E5A"/>
    <w:rsid w:val="190B5982"/>
    <w:rsid w:val="190E24A2"/>
    <w:rsid w:val="190F246E"/>
    <w:rsid w:val="1910107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B0EFE"/>
    <w:rsid w:val="19D83EBC"/>
    <w:rsid w:val="19DC2EF0"/>
    <w:rsid w:val="19E01BE1"/>
    <w:rsid w:val="19E27436"/>
    <w:rsid w:val="19E90F2D"/>
    <w:rsid w:val="19EA250B"/>
    <w:rsid w:val="19EB4C32"/>
    <w:rsid w:val="19F34D9A"/>
    <w:rsid w:val="19FA5943"/>
    <w:rsid w:val="1A020CAC"/>
    <w:rsid w:val="1A067C64"/>
    <w:rsid w:val="1A0A2F4E"/>
    <w:rsid w:val="1A0B3379"/>
    <w:rsid w:val="1A0C0B4A"/>
    <w:rsid w:val="1A163D2A"/>
    <w:rsid w:val="1A291CE9"/>
    <w:rsid w:val="1A2933F0"/>
    <w:rsid w:val="1A295ED4"/>
    <w:rsid w:val="1A2979B4"/>
    <w:rsid w:val="1A2B340C"/>
    <w:rsid w:val="1A326A5E"/>
    <w:rsid w:val="1A35314D"/>
    <w:rsid w:val="1A4351F7"/>
    <w:rsid w:val="1A4D3567"/>
    <w:rsid w:val="1A574E8B"/>
    <w:rsid w:val="1A5B332D"/>
    <w:rsid w:val="1A5D418F"/>
    <w:rsid w:val="1A68714A"/>
    <w:rsid w:val="1A767810"/>
    <w:rsid w:val="1A795091"/>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E7861"/>
    <w:rsid w:val="1B3F232C"/>
    <w:rsid w:val="1B435219"/>
    <w:rsid w:val="1B55429F"/>
    <w:rsid w:val="1B5C0AA7"/>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B15744"/>
    <w:rsid w:val="1CC448CE"/>
    <w:rsid w:val="1CDC2916"/>
    <w:rsid w:val="1CDD2804"/>
    <w:rsid w:val="1CE43CA1"/>
    <w:rsid w:val="1CE54C2C"/>
    <w:rsid w:val="1CEC5A44"/>
    <w:rsid w:val="1CF13010"/>
    <w:rsid w:val="1CF32493"/>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37D9E"/>
    <w:rsid w:val="1DF559F7"/>
    <w:rsid w:val="1DF62D17"/>
    <w:rsid w:val="1E03278E"/>
    <w:rsid w:val="1E0556C5"/>
    <w:rsid w:val="1E09388F"/>
    <w:rsid w:val="1E0A63E5"/>
    <w:rsid w:val="1E0B3CFF"/>
    <w:rsid w:val="1E0B7097"/>
    <w:rsid w:val="1E122944"/>
    <w:rsid w:val="1E167FA6"/>
    <w:rsid w:val="1E1A488E"/>
    <w:rsid w:val="1E252837"/>
    <w:rsid w:val="1E291941"/>
    <w:rsid w:val="1E2B5964"/>
    <w:rsid w:val="1E300851"/>
    <w:rsid w:val="1E301FEE"/>
    <w:rsid w:val="1E343DC7"/>
    <w:rsid w:val="1E3C5518"/>
    <w:rsid w:val="1E3E45C2"/>
    <w:rsid w:val="1E3E62A6"/>
    <w:rsid w:val="1E4059E9"/>
    <w:rsid w:val="1E4421BA"/>
    <w:rsid w:val="1E49220A"/>
    <w:rsid w:val="1E4D6A6C"/>
    <w:rsid w:val="1E52513C"/>
    <w:rsid w:val="1E5554D9"/>
    <w:rsid w:val="1E595EF3"/>
    <w:rsid w:val="1E6900A7"/>
    <w:rsid w:val="1E725D58"/>
    <w:rsid w:val="1E7D557D"/>
    <w:rsid w:val="1E8209D7"/>
    <w:rsid w:val="1E872C74"/>
    <w:rsid w:val="1E8A3684"/>
    <w:rsid w:val="1E8B6141"/>
    <w:rsid w:val="1E912F39"/>
    <w:rsid w:val="1E941393"/>
    <w:rsid w:val="1E974386"/>
    <w:rsid w:val="1E994431"/>
    <w:rsid w:val="1EA31D3F"/>
    <w:rsid w:val="1EA51FFC"/>
    <w:rsid w:val="1EA96187"/>
    <w:rsid w:val="1EAD4715"/>
    <w:rsid w:val="1EB010E6"/>
    <w:rsid w:val="1EB85929"/>
    <w:rsid w:val="1EBC68DA"/>
    <w:rsid w:val="1EBF4CD5"/>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E48A8"/>
    <w:rsid w:val="20FE4BBD"/>
    <w:rsid w:val="2103608A"/>
    <w:rsid w:val="210F68A1"/>
    <w:rsid w:val="211D790C"/>
    <w:rsid w:val="2120090B"/>
    <w:rsid w:val="212815C7"/>
    <w:rsid w:val="212A2ADC"/>
    <w:rsid w:val="212C40DA"/>
    <w:rsid w:val="212D0011"/>
    <w:rsid w:val="212E53BC"/>
    <w:rsid w:val="21304188"/>
    <w:rsid w:val="213B5D42"/>
    <w:rsid w:val="213D76B7"/>
    <w:rsid w:val="2143692E"/>
    <w:rsid w:val="21452AE2"/>
    <w:rsid w:val="2148417B"/>
    <w:rsid w:val="214D15D4"/>
    <w:rsid w:val="21553ADF"/>
    <w:rsid w:val="21580349"/>
    <w:rsid w:val="215F24F2"/>
    <w:rsid w:val="21641AC3"/>
    <w:rsid w:val="216C6B87"/>
    <w:rsid w:val="21741179"/>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4181E"/>
    <w:rsid w:val="2317727F"/>
    <w:rsid w:val="232020A5"/>
    <w:rsid w:val="23247DA8"/>
    <w:rsid w:val="23263DF4"/>
    <w:rsid w:val="232A727C"/>
    <w:rsid w:val="233072E9"/>
    <w:rsid w:val="233D00E7"/>
    <w:rsid w:val="23434E07"/>
    <w:rsid w:val="23550E3B"/>
    <w:rsid w:val="2358023D"/>
    <w:rsid w:val="235F75E7"/>
    <w:rsid w:val="23607971"/>
    <w:rsid w:val="23684F36"/>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E7808"/>
    <w:rsid w:val="25E10B12"/>
    <w:rsid w:val="25E6527D"/>
    <w:rsid w:val="26040C06"/>
    <w:rsid w:val="26193B65"/>
    <w:rsid w:val="26197FFF"/>
    <w:rsid w:val="261B562B"/>
    <w:rsid w:val="261B5B78"/>
    <w:rsid w:val="261B6EC1"/>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3207D"/>
    <w:rsid w:val="271438F4"/>
    <w:rsid w:val="27181BBE"/>
    <w:rsid w:val="272201E2"/>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C3FCF"/>
    <w:rsid w:val="27BF67BA"/>
    <w:rsid w:val="27C04AAA"/>
    <w:rsid w:val="27C60A21"/>
    <w:rsid w:val="27D021D8"/>
    <w:rsid w:val="27D54E77"/>
    <w:rsid w:val="27D65DE5"/>
    <w:rsid w:val="27D7429E"/>
    <w:rsid w:val="27DE1BFF"/>
    <w:rsid w:val="27E12983"/>
    <w:rsid w:val="27E44357"/>
    <w:rsid w:val="27EA32D3"/>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E42BA"/>
    <w:rsid w:val="298201B8"/>
    <w:rsid w:val="299B07C3"/>
    <w:rsid w:val="299B6E36"/>
    <w:rsid w:val="29A57939"/>
    <w:rsid w:val="29A646F0"/>
    <w:rsid w:val="29AB1C0C"/>
    <w:rsid w:val="29AB7532"/>
    <w:rsid w:val="29AC64D3"/>
    <w:rsid w:val="29B508BB"/>
    <w:rsid w:val="29B772EE"/>
    <w:rsid w:val="29BD4006"/>
    <w:rsid w:val="29CA48E3"/>
    <w:rsid w:val="29E705C4"/>
    <w:rsid w:val="29EB5B61"/>
    <w:rsid w:val="29EF69C0"/>
    <w:rsid w:val="29F50529"/>
    <w:rsid w:val="29F54216"/>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BF7311F"/>
    <w:rsid w:val="2C014C9D"/>
    <w:rsid w:val="2C04740C"/>
    <w:rsid w:val="2C0504F8"/>
    <w:rsid w:val="2C0577B1"/>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25A59"/>
    <w:rsid w:val="2D74403E"/>
    <w:rsid w:val="2D786928"/>
    <w:rsid w:val="2D797FB2"/>
    <w:rsid w:val="2D7E3395"/>
    <w:rsid w:val="2D964287"/>
    <w:rsid w:val="2D974D23"/>
    <w:rsid w:val="2D9B3D20"/>
    <w:rsid w:val="2DA25C72"/>
    <w:rsid w:val="2DA3399B"/>
    <w:rsid w:val="2DA62658"/>
    <w:rsid w:val="2DAD0982"/>
    <w:rsid w:val="2DAF5D1C"/>
    <w:rsid w:val="2DB10A22"/>
    <w:rsid w:val="2DB46B3D"/>
    <w:rsid w:val="2DB52669"/>
    <w:rsid w:val="2DBE0579"/>
    <w:rsid w:val="2DBE7D96"/>
    <w:rsid w:val="2DC35F5D"/>
    <w:rsid w:val="2DD00262"/>
    <w:rsid w:val="2DD16981"/>
    <w:rsid w:val="2DDB4B6D"/>
    <w:rsid w:val="2DDF702F"/>
    <w:rsid w:val="2DE51C63"/>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F267B"/>
    <w:rsid w:val="2ED26976"/>
    <w:rsid w:val="2EE4485A"/>
    <w:rsid w:val="2EE52A03"/>
    <w:rsid w:val="2EE55358"/>
    <w:rsid w:val="2EE72F28"/>
    <w:rsid w:val="2EEB1791"/>
    <w:rsid w:val="2EEE7023"/>
    <w:rsid w:val="2EF83B5E"/>
    <w:rsid w:val="2EFB3FE6"/>
    <w:rsid w:val="2EFB595F"/>
    <w:rsid w:val="2EFE3AC4"/>
    <w:rsid w:val="2F057C99"/>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D238F"/>
    <w:rsid w:val="2FD73D5F"/>
    <w:rsid w:val="2FDF68B6"/>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A4541"/>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67F"/>
    <w:rsid w:val="31081AAA"/>
    <w:rsid w:val="3112474F"/>
    <w:rsid w:val="311C7FAB"/>
    <w:rsid w:val="311F0D23"/>
    <w:rsid w:val="311F4CEA"/>
    <w:rsid w:val="31231685"/>
    <w:rsid w:val="3125095B"/>
    <w:rsid w:val="31371B54"/>
    <w:rsid w:val="31383F5C"/>
    <w:rsid w:val="31394B19"/>
    <w:rsid w:val="313C0C23"/>
    <w:rsid w:val="313F32EB"/>
    <w:rsid w:val="31406B5D"/>
    <w:rsid w:val="31420A94"/>
    <w:rsid w:val="314673FF"/>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84128"/>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1FF524C"/>
    <w:rsid w:val="32001F8B"/>
    <w:rsid w:val="32044B56"/>
    <w:rsid w:val="320B5911"/>
    <w:rsid w:val="3217684D"/>
    <w:rsid w:val="321C63D7"/>
    <w:rsid w:val="321F3F88"/>
    <w:rsid w:val="3221279F"/>
    <w:rsid w:val="32247BF9"/>
    <w:rsid w:val="32255778"/>
    <w:rsid w:val="322C56F7"/>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A67B6D"/>
    <w:rsid w:val="32A67BA6"/>
    <w:rsid w:val="32AF69B0"/>
    <w:rsid w:val="32B21E52"/>
    <w:rsid w:val="32B30DFB"/>
    <w:rsid w:val="32BF13C5"/>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955C5"/>
    <w:rsid w:val="334E1283"/>
    <w:rsid w:val="334E71AC"/>
    <w:rsid w:val="33557FE0"/>
    <w:rsid w:val="3359556A"/>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F7FD7"/>
    <w:rsid w:val="35017F79"/>
    <w:rsid w:val="351F2311"/>
    <w:rsid w:val="351F7E03"/>
    <w:rsid w:val="35206711"/>
    <w:rsid w:val="352612FC"/>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B2395E"/>
    <w:rsid w:val="35B500E7"/>
    <w:rsid w:val="35B77945"/>
    <w:rsid w:val="35BF0938"/>
    <w:rsid w:val="35C367DA"/>
    <w:rsid w:val="35C60118"/>
    <w:rsid w:val="35C65193"/>
    <w:rsid w:val="35C85812"/>
    <w:rsid w:val="35C95FC3"/>
    <w:rsid w:val="35CD5577"/>
    <w:rsid w:val="35CE53F0"/>
    <w:rsid w:val="35D210D6"/>
    <w:rsid w:val="35D738FD"/>
    <w:rsid w:val="35DC58C2"/>
    <w:rsid w:val="35E3342C"/>
    <w:rsid w:val="35E73D07"/>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94D65"/>
    <w:rsid w:val="38F35FC8"/>
    <w:rsid w:val="38F73A4C"/>
    <w:rsid w:val="38F904F0"/>
    <w:rsid w:val="390429EC"/>
    <w:rsid w:val="390E729C"/>
    <w:rsid w:val="39123E52"/>
    <w:rsid w:val="39126A08"/>
    <w:rsid w:val="391F1FF5"/>
    <w:rsid w:val="39231158"/>
    <w:rsid w:val="392B6C66"/>
    <w:rsid w:val="393E07AB"/>
    <w:rsid w:val="393E293F"/>
    <w:rsid w:val="39506734"/>
    <w:rsid w:val="395A6D19"/>
    <w:rsid w:val="395D0E21"/>
    <w:rsid w:val="39623B52"/>
    <w:rsid w:val="397319FF"/>
    <w:rsid w:val="39731B12"/>
    <w:rsid w:val="39765E70"/>
    <w:rsid w:val="39774BBD"/>
    <w:rsid w:val="397E3DAF"/>
    <w:rsid w:val="39847EB1"/>
    <w:rsid w:val="398704BB"/>
    <w:rsid w:val="39882427"/>
    <w:rsid w:val="39926717"/>
    <w:rsid w:val="399E1C0B"/>
    <w:rsid w:val="39A21811"/>
    <w:rsid w:val="39AD28D5"/>
    <w:rsid w:val="39B261DB"/>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00D63"/>
    <w:rsid w:val="3A2C3BA6"/>
    <w:rsid w:val="3A3539DC"/>
    <w:rsid w:val="3A3D4D53"/>
    <w:rsid w:val="3A4C45A1"/>
    <w:rsid w:val="3A577ADC"/>
    <w:rsid w:val="3A5914F9"/>
    <w:rsid w:val="3A5F3F5A"/>
    <w:rsid w:val="3A6D66ED"/>
    <w:rsid w:val="3A7116FC"/>
    <w:rsid w:val="3A736A4A"/>
    <w:rsid w:val="3A76541F"/>
    <w:rsid w:val="3A7D75EF"/>
    <w:rsid w:val="3A881F93"/>
    <w:rsid w:val="3A8D11CC"/>
    <w:rsid w:val="3A9A07D3"/>
    <w:rsid w:val="3A9C50AA"/>
    <w:rsid w:val="3AA312D0"/>
    <w:rsid w:val="3AB06715"/>
    <w:rsid w:val="3AC351F1"/>
    <w:rsid w:val="3AC91008"/>
    <w:rsid w:val="3ACB36E9"/>
    <w:rsid w:val="3ACB7871"/>
    <w:rsid w:val="3ACE6056"/>
    <w:rsid w:val="3AD34546"/>
    <w:rsid w:val="3AD847A7"/>
    <w:rsid w:val="3ADA3867"/>
    <w:rsid w:val="3AE15E3F"/>
    <w:rsid w:val="3AEF76B1"/>
    <w:rsid w:val="3AF27012"/>
    <w:rsid w:val="3B0114CC"/>
    <w:rsid w:val="3B050C15"/>
    <w:rsid w:val="3B112207"/>
    <w:rsid w:val="3B112F5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1DA2"/>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B25FC"/>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D05649D"/>
    <w:rsid w:val="3D0E2650"/>
    <w:rsid w:val="3D0E7B96"/>
    <w:rsid w:val="3D202A27"/>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75CF6"/>
    <w:rsid w:val="3F5954A7"/>
    <w:rsid w:val="3F5B1636"/>
    <w:rsid w:val="3F6249EF"/>
    <w:rsid w:val="3F6A75F8"/>
    <w:rsid w:val="3F6E46A4"/>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801CC"/>
    <w:rsid w:val="3FDF3057"/>
    <w:rsid w:val="3FF3291D"/>
    <w:rsid w:val="3FFB7550"/>
    <w:rsid w:val="40040E62"/>
    <w:rsid w:val="4014244F"/>
    <w:rsid w:val="40224723"/>
    <w:rsid w:val="402C5CC2"/>
    <w:rsid w:val="402C7086"/>
    <w:rsid w:val="40313493"/>
    <w:rsid w:val="40331444"/>
    <w:rsid w:val="4036300F"/>
    <w:rsid w:val="40366445"/>
    <w:rsid w:val="40374A52"/>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261A"/>
    <w:rsid w:val="410F7AAD"/>
    <w:rsid w:val="411557D9"/>
    <w:rsid w:val="41175358"/>
    <w:rsid w:val="411811D5"/>
    <w:rsid w:val="4126297D"/>
    <w:rsid w:val="412911E8"/>
    <w:rsid w:val="412A3388"/>
    <w:rsid w:val="412E4433"/>
    <w:rsid w:val="41362318"/>
    <w:rsid w:val="4136672A"/>
    <w:rsid w:val="413A1854"/>
    <w:rsid w:val="413C1A76"/>
    <w:rsid w:val="414C3A68"/>
    <w:rsid w:val="41581AA2"/>
    <w:rsid w:val="416C1A09"/>
    <w:rsid w:val="416C546D"/>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B302EA"/>
    <w:rsid w:val="42B61338"/>
    <w:rsid w:val="42B90AAB"/>
    <w:rsid w:val="42C5009E"/>
    <w:rsid w:val="42C92A69"/>
    <w:rsid w:val="42C96A82"/>
    <w:rsid w:val="42CF6EF1"/>
    <w:rsid w:val="42D604C8"/>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9936C4"/>
    <w:rsid w:val="439D3E7F"/>
    <w:rsid w:val="43A03519"/>
    <w:rsid w:val="43A30AD2"/>
    <w:rsid w:val="43A35347"/>
    <w:rsid w:val="43A84417"/>
    <w:rsid w:val="43A95555"/>
    <w:rsid w:val="43AA5E51"/>
    <w:rsid w:val="43B27F51"/>
    <w:rsid w:val="43B358F0"/>
    <w:rsid w:val="43C211B7"/>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8C594F"/>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F2FC0"/>
    <w:rsid w:val="46532B01"/>
    <w:rsid w:val="46584184"/>
    <w:rsid w:val="46593CCB"/>
    <w:rsid w:val="46630636"/>
    <w:rsid w:val="4664264C"/>
    <w:rsid w:val="46687376"/>
    <w:rsid w:val="46696D7B"/>
    <w:rsid w:val="4670211B"/>
    <w:rsid w:val="46836D01"/>
    <w:rsid w:val="468431CC"/>
    <w:rsid w:val="46846139"/>
    <w:rsid w:val="468706E8"/>
    <w:rsid w:val="46934B28"/>
    <w:rsid w:val="46AA774E"/>
    <w:rsid w:val="46AB3E47"/>
    <w:rsid w:val="46AD5953"/>
    <w:rsid w:val="46B8054D"/>
    <w:rsid w:val="46B861B8"/>
    <w:rsid w:val="46CF0DEB"/>
    <w:rsid w:val="46D4028D"/>
    <w:rsid w:val="46D7105C"/>
    <w:rsid w:val="46DB6A13"/>
    <w:rsid w:val="46DD5FAF"/>
    <w:rsid w:val="46DE7C78"/>
    <w:rsid w:val="46DF5460"/>
    <w:rsid w:val="46EE6B99"/>
    <w:rsid w:val="46F14E1C"/>
    <w:rsid w:val="46F46934"/>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74F17"/>
    <w:rsid w:val="47FF24E4"/>
    <w:rsid w:val="47FF743A"/>
    <w:rsid w:val="48147DE1"/>
    <w:rsid w:val="4818087E"/>
    <w:rsid w:val="481967BC"/>
    <w:rsid w:val="481C0B7F"/>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812AA2"/>
    <w:rsid w:val="488244F3"/>
    <w:rsid w:val="48880174"/>
    <w:rsid w:val="488811AB"/>
    <w:rsid w:val="48915121"/>
    <w:rsid w:val="48946E42"/>
    <w:rsid w:val="48963808"/>
    <w:rsid w:val="489717AD"/>
    <w:rsid w:val="48983085"/>
    <w:rsid w:val="489A2DBE"/>
    <w:rsid w:val="489F3AF1"/>
    <w:rsid w:val="48A24D9D"/>
    <w:rsid w:val="48A330F7"/>
    <w:rsid w:val="48A5260C"/>
    <w:rsid w:val="48A6395B"/>
    <w:rsid w:val="48A74E36"/>
    <w:rsid w:val="48AD72C6"/>
    <w:rsid w:val="48B3188D"/>
    <w:rsid w:val="48C478DD"/>
    <w:rsid w:val="48C8522F"/>
    <w:rsid w:val="48CB2DFC"/>
    <w:rsid w:val="48CE1F9A"/>
    <w:rsid w:val="48D9014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43B47"/>
    <w:rsid w:val="4A080E5C"/>
    <w:rsid w:val="4A1C1EE0"/>
    <w:rsid w:val="4A210B7E"/>
    <w:rsid w:val="4A335E86"/>
    <w:rsid w:val="4A357040"/>
    <w:rsid w:val="4A3B0DBF"/>
    <w:rsid w:val="4A3C074A"/>
    <w:rsid w:val="4A401246"/>
    <w:rsid w:val="4A417E42"/>
    <w:rsid w:val="4A4C22EF"/>
    <w:rsid w:val="4A535B24"/>
    <w:rsid w:val="4A545D35"/>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41501"/>
    <w:rsid w:val="4B4A1E20"/>
    <w:rsid w:val="4B5B261F"/>
    <w:rsid w:val="4B687FD4"/>
    <w:rsid w:val="4B741C5B"/>
    <w:rsid w:val="4B751079"/>
    <w:rsid w:val="4B811257"/>
    <w:rsid w:val="4B816993"/>
    <w:rsid w:val="4B83233B"/>
    <w:rsid w:val="4B9419F7"/>
    <w:rsid w:val="4B9E2880"/>
    <w:rsid w:val="4B9E74AF"/>
    <w:rsid w:val="4BA96810"/>
    <w:rsid w:val="4BAC02EC"/>
    <w:rsid w:val="4BAD645F"/>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23E21"/>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515B8"/>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D4CCF"/>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75CDF"/>
    <w:rsid w:val="4E6C617F"/>
    <w:rsid w:val="4E762F41"/>
    <w:rsid w:val="4E776518"/>
    <w:rsid w:val="4E7964A9"/>
    <w:rsid w:val="4E7D7378"/>
    <w:rsid w:val="4E7F10F7"/>
    <w:rsid w:val="4E833067"/>
    <w:rsid w:val="4E8B5727"/>
    <w:rsid w:val="4E8D5B77"/>
    <w:rsid w:val="4E9F5822"/>
    <w:rsid w:val="4E9F6EED"/>
    <w:rsid w:val="4EA62C4C"/>
    <w:rsid w:val="4EA90553"/>
    <w:rsid w:val="4EAB4013"/>
    <w:rsid w:val="4EAD5507"/>
    <w:rsid w:val="4EB37DFC"/>
    <w:rsid w:val="4EB54156"/>
    <w:rsid w:val="4EB74D7B"/>
    <w:rsid w:val="4EBC593E"/>
    <w:rsid w:val="4ED208AF"/>
    <w:rsid w:val="4ED300A0"/>
    <w:rsid w:val="4ED74ED3"/>
    <w:rsid w:val="4ED77782"/>
    <w:rsid w:val="4EE8080A"/>
    <w:rsid w:val="4EEA0EBA"/>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A057FA"/>
    <w:rsid w:val="4FA50BF5"/>
    <w:rsid w:val="4FAE1C5C"/>
    <w:rsid w:val="4FAE2769"/>
    <w:rsid w:val="4FBA0D2B"/>
    <w:rsid w:val="4FBF63C5"/>
    <w:rsid w:val="4FC35E15"/>
    <w:rsid w:val="4FC67EEA"/>
    <w:rsid w:val="4FCA225C"/>
    <w:rsid w:val="4FCF59AE"/>
    <w:rsid w:val="4FD27897"/>
    <w:rsid w:val="4FD41744"/>
    <w:rsid w:val="4FD72D6F"/>
    <w:rsid w:val="4FDB0443"/>
    <w:rsid w:val="4FDC67FA"/>
    <w:rsid w:val="4FDF729C"/>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061B4"/>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F41DD"/>
    <w:rsid w:val="52CA7BC7"/>
    <w:rsid w:val="52CB74EB"/>
    <w:rsid w:val="52CE6819"/>
    <w:rsid w:val="52CF576A"/>
    <w:rsid w:val="52D02BD7"/>
    <w:rsid w:val="52DA3F13"/>
    <w:rsid w:val="52E838BE"/>
    <w:rsid w:val="52F42816"/>
    <w:rsid w:val="52FE47A9"/>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B36A7"/>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74F77"/>
    <w:rsid w:val="54781903"/>
    <w:rsid w:val="548A1E4E"/>
    <w:rsid w:val="548D289E"/>
    <w:rsid w:val="54910BA4"/>
    <w:rsid w:val="549A0616"/>
    <w:rsid w:val="549B20E6"/>
    <w:rsid w:val="549E3FD7"/>
    <w:rsid w:val="54A60315"/>
    <w:rsid w:val="54B86248"/>
    <w:rsid w:val="54C24B82"/>
    <w:rsid w:val="54C50B9C"/>
    <w:rsid w:val="54CA3C93"/>
    <w:rsid w:val="54D00FCE"/>
    <w:rsid w:val="54D5187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76135"/>
    <w:rsid w:val="562C48A4"/>
    <w:rsid w:val="562E289A"/>
    <w:rsid w:val="5635337A"/>
    <w:rsid w:val="563B1048"/>
    <w:rsid w:val="5646524C"/>
    <w:rsid w:val="5649734E"/>
    <w:rsid w:val="564E3688"/>
    <w:rsid w:val="56514294"/>
    <w:rsid w:val="566355DD"/>
    <w:rsid w:val="56680BC9"/>
    <w:rsid w:val="566926ED"/>
    <w:rsid w:val="567043C4"/>
    <w:rsid w:val="567119B3"/>
    <w:rsid w:val="56711FDB"/>
    <w:rsid w:val="567636B0"/>
    <w:rsid w:val="567E3000"/>
    <w:rsid w:val="567F4D05"/>
    <w:rsid w:val="568363E1"/>
    <w:rsid w:val="568F72CF"/>
    <w:rsid w:val="569C7055"/>
    <w:rsid w:val="56A84128"/>
    <w:rsid w:val="56AC31BC"/>
    <w:rsid w:val="56B20B45"/>
    <w:rsid w:val="56B2689B"/>
    <w:rsid w:val="56B635AB"/>
    <w:rsid w:val="56BF1F76"/>
    <w:rsid w:val="56C0283E"/>
    <w:rsid w:val="56C05533"/>
    <w:rsid w:val="56D418EA"/>
    <w:rsid w:val="56D43345"/>
    <w:rsid w:val="56E365E9"/>
    <w:rsid w:val="56E8313E"/>
    <w:rsid w:val="56EB4412"/>
    <w:rsid w:val="56F418BC"/>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2AEA"/>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501EA"/>
    <w:rsid w:val="58C67760"/>
    <w:rsid w:val="58C72F25"/>
    <w:rsid w:val="58CA5531"/>
    <w:rsid w:val="58CB0FB1"/>
    <w:rsid w:val="58D25899"/>
    <w:rsid w:val="58DB5028"/>
    <w:rsid w:val="58DE171B"/>
    <w:rsid w:val="58DF14AC"/>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31D58"/>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C627E"/>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C54ED"/>
    <w:rsid w:val="5AE627DD"/>
    <w:rsid w:val="5AE65AC1"/>
    <w:rsid w:val="5AE86727"/>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3079B1"/>
    <w:rsid w:val="5B3A53F7"/>
    <w:rsid w:val="5B3C26CD"/>
    <w:rsid w:val="5B3F35C5"/>
    <w:rsid w:val="5B3F6C62"/>
    <w:rsid w:val="5B462C87"/>
    <w:rsid w:val="5B467A3A"/>
    <w:rsid w:val="5B484384"/>
    <w:rsid w:val="5B576288"/>
    <w:rsid w:val="5B605983"/>
    <w:rsid w:val="5B6616AB"/>
    <w:rsid w:val="5B663AED"/>
    <w:rsid w:val="5B69795A"/>
    <w:rsid w:val="5B6B2882"/>
    <w:rsid w:val="5B6F1970"/>
    <w:rsid w:val="5B72043B"/>
    <w:rsid w:val="5B770A85"/>
    <w:rsid w:val="5B7E1425"/>
    <w:rsid w:val="5B7E573E"/>
    <w:rsid w:val="5B822E9B"/>
    <w:rsid w:val="5B8578BE"/>
    <w:rsid w:val="5B893FE8"/>
    <w:rsid w:val="5B96388B"/>
    <w:rsid w:val="5B9C7EC8"/>
    <w:rsid w:val="5B9E66F6"/>
    <w:rsid w:val="5BA21FBD"/>
    <w:rsid w:val="5BA40851"/>
    <w:rsid w:val="5BAF0D57"/>
    <w:rsid w:val="5BBC3894"/>
    <w:rsid w:val="5BBC7CD9"/>
    <w:rsid w:val="5BC207F8"/>
    <w:rsid w:val="5BC95954"/>
    <w:rsid w:val="5BD45122"/>
    <w:rsid w:val="5BD90725"/>
    <w:rsid w:val="5BDB30C2"/>
    <w:rsid w:val="5BDD635A"/>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241D0D"/>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543FE"/>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A06EB3"/>
    <w:rsid w:val="5EA140CB"/>
    <w:rsid w:val="5EA2031E"/>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640DE"/>
    <w:rsid w:val="602664AC"/>
    <w:rsid w:val="603E4F2F"/>
    <w:rsid w:val="60432B5E"/>
    <w:rsid w:val="60472491"/>
    <w:rsid w:val="605F164B"/>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B735D2"/>
    <w:rsid w:val="60C31A2D"/>
    <w:rsid w:val="60C44D7F"/>
    <w:rsid w:val="60CB6F22"/>
    <w:rsid w:val="60CF74B2"/>
    <w:rsid w:val="60D46E93"/>
    <w:rsid w:val="60D640BA"/>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32A19"/>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E1485"/>
    <w:rsid w:val="6277179C"/>
    <w:rsid w:val="627D238E"/>
    <w:rsid w:val="6281149E"/>
    <w:rsid w:val="62814AC5"/>
    <w:rsid w:val="62850A93"/>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1D3C1F"/>
    <w:rsid w:val="63232D11"/>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64A92"/>
    <w:rsid w:val="639154D4"/>
    <w:rsid w:val="639A0875"/>
    <w:rsid w:val="63A17DFD"/>
    <w:rsid w:val="63AB1FE1"/>
    <w:rsid w:val="63B5452C"/>
    <w:rsid w:val="63B76AE2"/>
    <w:rsid w:val="63BD439C"/>
    <w:rsid w:val="63BD7C68"/>
    <w:rsid w:val="63C41DD1"/>
    <w:rsid w:val="63C72372"/>
    <w:rsid w:val="63D25757"/>
    <w:rsid w:val="63D32D5D"/>
    <w:rsid w:val="63D72CE7"/>
    <w:rsid w:val="63E03FEA"/>
    <w:rsid w:val="63E96742"/>
    <w:rsid w:val="63F25DA5"/>
    <w:rsid w:val="63FC5574"/>
    <w:rsid w:val="6405483D"/>
    <w:rsid w:val="640C5C73"/>
    <w:rsid w:val="640E6446"/>
    <w:rsid w:val="6410782B"/>
    <w:rsid w:val="64131ACE"/>
    <w:rsid w:val="64193316"/>
    <w:rsid w:val="641E4A63"/>
    <w:rsid w:val="641F6408"/>
    <w:rsid w:val="64267B2C"/>
    <w:rsid w:val="642C2369"/>
    <w:rsid w:val="6435158C"/>
    <w:rsid w:val="644C64F7"/>
    <w:rsid w:val="64573736"/>
    <w:rsid w:val="64595EAC"/>
    <w:rsid w:val="64655408"/>
    <w:rsid w:val="646905B9"/>
    <w:rsid w:val="646A1498"/>
    <w:rsid w:val="646A4255"/>
    <w:rsid w:val="64713B8F"/>
    <w:rsid w:val="64753628"/>
    <w:rsid w:val="64762A3B"/>
    <w:rsid w:val="64780C1F"/>
    <w:rsid w:val="648230FE"/>
    <w:rsid w:val="64897D48"/>
    <w:rsid w:val="648B5C8D"/>
    <w:rsid w:val="649040B2"/>
    <w:rsid w:val="64932164"/>
    <w:rsid w:val="64990A00"/>
    <w:rsid w:val="64AB6B0F"/>
    <w:rsid w:val="64AD64C8"/>
    <w:rsid w:val="64AE4EA4"/>
    <w:rsid w:val="64B35DE8"/>
    <w:rsid w:val="64B7365E"/>
    <w:rsid w:val="64C32A6F"/>
    <w:rsid w:val="64C70EC1"/>
    <w:rsid w:val="64C91401"/>
    <w:rsid w:val="64CD2D4A"/>
    <w:rsid w:val="64D71BA6"/>
    <w:rsid w:val="64F05517"/>
    <w:rsid w:val="64F34891"/>
    <w:rsid w:val="64F45D47"/>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40622"/>
    <w:rsid w:val="662411BF"/>
    <w:rsid w:val="662B361D"/>
    <w:rsid w:val="66315775"/>
    <w:rsid w:val="66355B8E"/>
    <w:rsid w:val="66467706"/>
    <w:rsid w:val="664A400E"/>
    <w:rsid w:val="664E41D9"/>
    <w:rsid w:val="664F3140"/>
    <w:rsid w:val="665610A9"/>
    <w:rsid w:val="66590DCD"/>
    <w:rsid w:val="666358BC"/>
    <w:rsid w:val="66695AF1"/>
    <w:rsid w:val="666E74C1"/>
    <w:rsid w:val="667A263F"/>
    <w:rsid w:val="66802FE7"/>
    <w:rsid w:val="66812D23"/>
    <w:rsid w:val="669A357F"/>
    <w:rsid w:val="669B467B"/>
    <w:rsid w:val="66A31556"/>
    <w:rsid w:val="66AB4650"/>
    <w:rsid w:val="66AF5BE1"/>
    <w:rsid w:val="66B37F84"/>
    <w:rsid w:val="66B40759"/>
    <w:rsid w:val="66BE2FA5"/>
    <w:rsid w:val="66C16711"/>
    <w:rsid w:val="66C9321B"/>
    <w:rsid w:val="66CC4487"/>
    <w:rsid w:val="66D61628"/>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E5A16"/>
    <w:rsid w:val="675F562E"/>
    <w:rsid w:val="67636AE2"/>
    <w:rsid w:val="67686498"/>
    <w:rsid w:val="676947A2"/>
    <w:rsid w:val="676A3201"/>
    <w:rsid w:val="676E1DA6"/>
    <w:rsid w:val="676F3DA1"/>
    <w:rsid w:val="6770670C"/>
    <w:rsid w:val="677C799E"/>
    <w:rsid w:val="67827DF9"/>
    <w:rsid w:val="67834F83"/>
    <w:rsid w:val="678B0ADF"/>
    <w:rsid w:val="67990CAA"/>
    <w:rsid w:val="679B4BE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80760"/>
    <w:rsid w:val="68261655"/>
    <w:rsid w:val="682812E5"/>
    <w:rsid w:val="682F7DB2"/>
    <w:rsid w:val="6831388B"/>
    <w:rsid w:val="683770B8"/>
    <w:rsid w:val="683965C1"/>
    <w:rsid w:val="683B5DF7"/>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A5F02"/>
    <w:rsid w:val="6A2F3F03"/>
    <w:rsid w:val="6A3832AF"/>
    <w:rsid w:val="6A3F27B9"/>
    <w:rsid w:val="6A404E3D"/>
    <w:rsid w:val="6A434B44"/>
    <w:rsid w:val="6A4574D8"/>
    <w:rsid w:val="6A605140"/>
    <w:rsid w:val="6A657204"/>
    <w:rsid w:val="6A6A2302"/>
    <w:rsid w:val="6A6D73CE"/>
    <w:rsid w:val="6A8433D2"/>
    <w:rsid w:val="6A863926"/>
    <w:rsid w:val="6A877233"/>
    <w:rsid w:val="6A882ECD"/>
    <w:rsid w:val="6A894FAF"/>
    <w:rsid w:val="6A904C43"/>
    <w:rsid w:val="6A9840F9"/>
    <w:rsid w:val="6A9C5E39"/>
    <w:rsid w:val="6AA20740"/>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84B34"/>
    <w:rsid w:val="6B4C712F"/>
    <w:rsid w:val="6B501AD4"/>
    <w:rsid w:val="6B5743C8"/>
    <w:rsid w:val="6B585012"/>
    <w:rsid w:val="6B6951C4"/>
    <w:rsid w:val="6B6B795B"/>
    <w:rsid w:val="6B6C155B"/>
    <w:rsid w:val="6B6D17D9"/>
    <w:rsid w:val="6B7A615E"/>
    <w:rsid w:val="6B842643"/>
    <w:rsid w:val="6B8E3FD9"/>
    <w:rsid w:val="6B8E6F7C"/>
    <w:rsid w:val="6B8E767A"/>
    <w:rsid w:val="6B923B2B"/>
    <w:rsid w:val="6B9429D1"/>
    <w:rsid w:val="6B98025A"/>
    <w:rsid w:val="6BA31A09"/>
    <w:rsid w:val="6BA75497"/>
    <w:rsid w:val="6BA9582F"/>
    <w:rsid w:val="6BB176F7"/>
    <w:rsid w:val="6BB17E5A"/>
    <w:rsid w:val="6BB35690"/>
    <w:rsid w:val="6BB74227"/>
    <w:rsid w:val="6BBA66B5"/>
    <w:rsid w:val="6BBB4885"/>
    <w:rsid w:val="6BBE76E4"/>
    <w:rsid w:val="6BC9376F"/>
    <w:rsid w:val="6BD1009A"/>
    <w:rsid w:val="6BE0639E"/>
    <w:rsid w:val="6BE444FA"/>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771FC"/>
    <w:rsid w:val="6D3F47EE"/>
    <w:rsid w:val="6D4072B1"/>
    <w:rsid w:val="6D414E97"/>
    <w:rsid w:val="6D484D36"/>
    <w:rsid w:val="6D4A0555"/>
    <w:rsid w:val="6D4D2DE5"/>
    <w:rsid w:val="6D4E5075"/>
    <w:rsid w:val="6D4F0B9A"/>
    <w:rsid w:val="6D554A81"/>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ED3309"/>
    <w:rsid w:val="6FF15C82"/>
    <w:rsid w:val="6FFD13E7"/>
    <w:rsid w:val="70035B63"/>
    <w:rsid w:val="70084791"/>
    <w:rsid w:val="700B4CC3"/>
    <w:rsid w:val="701B650B"/>
    <w:rsid w:val="70200403"/>
    <w:rsid w:val="70233697"/>
    <w:rsid w:val="702F7F84"/>
    <w:rsid w:val="704622D4"/>
    <w:rsid w:val="70513178"/>
    <w:rsid w:val="705E1EC1"/>
    <w:rsid w:val="705F0277"/>
    <w:rsid w:val="7060303C"/>
    <w:rsid w:val="706A1F04"/>
    <w:rsid w:val="706B024D"/>
    <w:rsid w:val="70711F9A"/>
    <w:rsid w:val="70764871"/>
    <w:rsid w:val="707C2F7E"/>
    <w:rsid w:val="7080762B"/>
    <w:rsid w:val="70812330"/>
    <w:rsid w:val="708448A6"/>
    <w:rsid w:val="70853B74"/>
    <w:rsid w:val="70971996"/>
    <w:rsid w:val="709A6CCB"/>
    <w:rsid w:val="709E3984"/>
    <w:rsid w:val="70A01528"/>
    <w:rsid w:val="70A45BDD"/>
    <w:rsid w:val="70A535EC"/>
    <w:rsid w:val="70AF24D8"/>
    <w:rsid w:val="70B172B5"/>
    <w:rsid w:val="70B17A12"/>
    <w:rsid w:val="70B41194"/>
    <w:rsid w:val="70BC7B39"/>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50249"/>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930D42"/>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301303C"/>
    <w:rsid w:val="73024E04"/>
    <w:rsid w:val="7304100E"/>
    <w:rsid w:val="730B0185"/>
    <w:rsid w:val="730B2912"/>
    <w:rsid w:val="73117F42"/>
    <w:rsid w:val="73130C07"/>
    <w:rsid w:val="73266F63"/>
    <w:rsid w:val="732A69D2"/>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C55A94"/>
    <w:rsid w:val="73D63DCA"/>
    <w:rsid w:val="73FA0DAA"/>
    <w:rsid w:val="73FF104A"/>
    <w:rsid w:val="740441B3"/>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64387"/>
    <w:rsid w:val="74891CF9"/>
    <w:rsid w:val="748B0C7D"/>
    <w:rsid w:val="74903C13"/>
    <w:rsid w:val="74957A0A"/>
    <w:rsid w:val="74A25A03"/>
    <w:rsid w:val="74AE2C50"/>
    <w:rsid w:val="74AF19B2"/>
    <w:rsid w:val="74B33364"/>
    <w:rsid w:val="74BC376B"/>
    <w:rsid w:val="74BD448C"/>
    <w:rsid w:val="74C26C52"/>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26226A"/>
    <w:rsid w:val="75280AAD"/>
    <w:rsid w:val="752F371C"/>
    <w:rsid w:val="753A4DD0"/>
    <w:rsid w:val="7542280E"/>
    <w:rsid w:val="7545531A"/>
    <w:rsid w:val="75560317"/>
    <w:rsid w:val="75566F69"/>
    <w:rsid w:val="755D1234"/>
    <w:rsid w:val="755F09DF"/>
    <w:rsid w:val="75675ADF"/>
    <w:rsid w:val="756B54F8"/>
    <w:rsid w:val="756C6582"/>
    <w:rsid w:val="756D4E66"/>
    <w:rsid w:val="756E5D13"/>
    <w:rsid w:val="75763A5C"/>
    <w:rsid w:val="757816ED"/>
    <w:rsid w:val="757A602C"/>
    <w:rsid w:val="7580636A"/>
    <w:rsid w:val="758641B8"/>
    <w:rsid w:val="75A70CB8"/>
    <w:rsid w:val="75AB5256"/>
    <w:rsid w:val="75B05DB1"/>
    <w:rsid w:val="75B43531"/>
    <w:rsid w:val="75B54E5D"/>
    <w:rsid w:val="75B921DA"/>
    <w:rsid w:val="75B96690"/>
    <w:rsid w:val="75BD11A7"/>
    <w:rsid w:val="75C00ADE"/>
    <w:rsid w:val="75CA76E4"/>
    <w:rsid w:val="75D0763F"/>
    <w:rsid w:val="75DB5530"/>
    <w:rsid w:val="75E376A3"/>
    <w:rsid w:val="75E82B30"/>
    <w:rsid w:val="75ED5A36"/>
    <w:rsid w:val="75F05A94"/>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B3DFC"/>
    <w:rsid w:val="76710E80"/>
    <w:rsid w:val="767E302B"/>
    <w:rsid w:val="768542F9"/>
    <w:rsid w:val="769016B8"/>
    <w:rsid w:val="76932345"/>
    <w:rsid w:val="769F0579"/>
    <w:rsid w:val="76A35D52"/>
    <w:rsid w:val="76A5232A"/>
    <w:rsid w:val="76A5622D"/>
    <w:rsid w:val="76A633ED"/>
    <w:rsid w:val="76AB5F51"/>
    <w:rsid w:val="76B02504"/>
    <w:rsid w:val="76B576A3"/>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111055"/>
    <w:rsid w:val="7717373F"/>
    <w:rsid w:val="77187B86"/>
    <w:rsid w:val="772C5306"/>
    <w:rsid w:val="7733773C"/>
    <w:rsid w:val="7734057D"/>
    <w:rsid w:val="77343121"/>
    <w:rsid w:val="77355E6E"/>
    <w:rsid w:val="77383244"/>
    <w:rsid w:val="77443794"/>
    <w:rsid w:val="77492C03"/>
    <w:rsid w:val="774F423A"/>
    <w:rsid w:val="774F7910"/>
    <w:rsid w:val="7756714D"/>
    <w:rsid w:val="77597E3E"/>
    <w:rsid w:val="77625740"/>
    <w:rsid w:val="7769549F"/>
    <w:rsid w:val="777C4D24"/>
    <w:rsid w:val="778807C6"/>
    <w:rsid w:val="77883832"/>
    <w:rsid w:val="7789361D"/>
    <w:rsid w:val="77905FA2"/>
    <w:rsid w:val="779B34EE"/>
    <w:rsid w:val="77A6008A"/>
    <w:rsid w:val="77B05D89"/>
    <w:rsid w:val="77B268BA"/>
    <w:rsid w:val="77B47AEB"/>
    <w:rsid w:val="77B6601D"/>
    <w:rsid w:val="77BB391E"/>
    <w:rsid w:val="77BF6C49"/>
    <w:rsid w:val="77D7676B"/>
    <w:rsid w:val="77DD7A01"/>
    <w:rsid w:val="77E85637"/>
    <w:rsid w:val="77EE30D2"/>
    <w:rsid w:val="77F630A0"/>
    <w:rsid w:val="78005696"/>
    <w:rsid w:val="78005B7D"/>
    <w:rsid w:val="7807282F"/>
    <w:rsid w:val="780A565F"/>
    <w:rsid w:val="780B2FEF"/>
    <w:rsid w:val="780C15F4"/>
    <w:rsid w:val="780F0AC0"/>
    <w:rsid w:val="7810621D"/>
    <w:rsid w:val="78114B77"/>
    <w:rsid w:val="781D006F"/>
    <w:rsid w:val="781F2405"/>
    <w:rsid w:val="78213084"/>
    <w:rsid w:val="78213648"/>
    <w:rsid w:val="782424D5"/>
    <w:rsid w:val="78287DBF"/>
    <w:rsid w:val="78305E38"/>
    <w:rsid w:val="783328A6"/>
    <w:rsid w:val="78367F27"/>
    <w:rsid w:val="783C4C63"/>
    <w:rsid w:val="783F1D19"/>
    <w:rsid w:val="784B2E74"/>
    <w:rsid w:val="78520561"/>
    <w:rsid w:val="78531BDB"/>
    <w:rsid w:val="785364C5"/>
    <w:rsid w:val="78556E52"/>
    <w:rsid w:val="785E2773"/>
    <w:rsid w:val="78631B96"/>
    <w:rsid w:val="78661D9A"/>
    <w:rsid w:val="78682E27"/>
    <w:rsid w:val="786B2A6C"/>
    <w:rsid w:val="786C5E43"/>
    <w:rsid w:val="786E7579"/>
    <w:rsid w:val="787B626A"/>
    <w:rsid w:val="7883577A"/>
    <w:rsid w:val="78842FF3"/>
    <w:rsid w:val="7889168E"/>
    <w:rsid w:val="78932A56"/>
    <w:rsid w:val="78957160"/>
    <w:rsid w:val="7897387D"/>
    <w:rsid w:val="78996993"/>
    <w:rsid w:val="78A24FBC"/>
    <w:rsid w:val="78A51E01"/>
    <w:rsid w:val="78AA7E6E"/>
    <w:rsid w:val="78B43694"/>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880"/>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D1B3C"/>
    <w:rsid w:val="7A8129F5"/>
    <w:rsid w:val="7A8D0DF2"/>
    <w:rsid w:val="7A8D168B"/>
    <w:rsid w:val="7A8D4686"/>
    <w:rsid w:val="7A934A3F"/>
    <w:rsid w:val="7A986E23"/>
    <w:rsid w:val="7A9E48D6"/>
    <w:rsid w:val="7AAA7146"/>
    <w:rsid w:val="7AAC5FCE"/>
    <w:rsid w:val="7AB01B53"/>
    <w:rsid w:val="7AB02E81"/>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37E2C"/>
    <w:rsid w:val="7B0F789B"/>
    <w:rsid w:val="7B101C17"/>
    <w:rsid w:val="7B107437"/>
    <w:rsid w:val="7B130326"/>
    <w:rsid w:val="7B194A33"/>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34052"/>
    <w:rsid w:val="7C037B02"/>
    <w:rsid w:val="7C0865E1"/>
    <w:rsid w:val="7C0A1089"/>
    <w:rsid w:val="7C0E626D"/>
    <w:rsid w:val="7C1263BE"/>
    <w:rsid w:val="7C1806FB"/>
    <w:rsid w:val="7C194A66"/>
    <w:rsid w:val="7C1A02C9"/>
    <w:rsid w:val="7C1D09CF"/>
    <w:rsid w:val="7C234A9B"/>
    <w:rsid w:val="7C236DC4"/>
    <w:rsid w:val="7C29156F"/>
    <w:rsid w:val="7C2A385D"/>
    <w:rsid w:val="7C2F4BB6"/>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F218D"/>
    <w:rsid w:val="7C8B4BD5"/>
    <w:rsid w:val="7C997B8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8C7BC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3603"/>
    <w:rsid w:val="7F3C394C"/>
    <w:rsid w:val="7F563140"/>
    <w:rsid w:val="7F614A34"/>
    <w:rsid w:val="7F614D28"/>
    <w:rsid w:val="7F6179F3"/>
    <w:rsid w:val="7F63372A"/>
    <w:rsid w:val="7F642634"/>
    <w:rsid w:val="7F6812CE"/>
    <w:rsid w:val="7F70218A"/>
    <w:rsid w:val="7F7140CF"/>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0"/>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Balloon Text Char"/>
    <w:link w:val="18"/>
    <w:semiHidden/>
    <w:qFormat/>
    <w:uiPriority w:val="99"/>
    <w:rPr>
      <w:rFonts w:ascii="Tahoma" w:hAnsi="Tahoma" w:cs="Tahoma"/>
      <w:sz w:val="16"/>
      <w:szCs w:val="16"/>
    </w:rPr>
  </w:style>
  <w:style w:type="character" w:customStyle="1" w:styleId="30">
    <w:name w:val="Heading 1 Char"/>
    <w:link w:val="2"/>
    <w:qFormat/>
    <w:uiPriority w:val="99"/>
    <w:rPr>
      <w:rFonts w:ascii="Arial" w:hAnsi="Arial" w:eastAsia="黑体"/>
      <w:b/>
      <w:bCs/>
      <w:sz w:val="30"/>
      <w:szCs w:val="30"/>
      <w:lang w:val="zh-CN" w:eastAsia="zh-CN"/>
    </w:rPr>
  </w:style>
  <w:style w:type="character" w:customStyle="1" w:styleId="31">
    <w:name w:val="Header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Comment Text Char"/>
    <w:basedOn w:val="25"/>
    <w:link w:val="11"/>
    <w:qFormat/>
    <w:uiPriority w:val="99"/>
  </w:style>
  <w:style w:type="character" w:customStyle="1" w:styleId="34">
    <w:name w:val="Comment Subject Char"/>
    <w:link w:val="22"/>
    <w:semiHidden/>
    <w:qFormat/>
    <w:uiPriority w:val="99"/>
    <w:rPr>
      <w:b/>
      <w:bCs/>
    </w:rPr>
  </w:style>
  <w:style w:type="character" w:customStyle="1" w:styleId="35">
    <w:name w:val="Document Map Char"/>
    <w:link w:val="10"/>
    <w:semiHidden/>
    <w:qFormat/>
    <w:uiPriority w:val="99"/>
    <w:rPr>
      <w:rFonts w:ascii="宋体"/>
      <w:sz w:val="18"/>
      <w:szCs w:val="18"/>
    </w:rPr>
  </w:style>
  <w:style w:type="character" w:customStyle="1" w:styleId="36">
    <w:name w:val="Body Text Char"/>
    <w:link w:val="12"/>
    <w:qFormat/>
    <w:uiPriority w:val="0"/>
    <w:rPr>
      <w:rFonts w:ascii="Times New Roman" w:hAnsi="Times New Roman"/>
      <w:color w:val="0000FF"/>
      <w:kern w:val="2"/>
      <w:sz w:val="21"/>
    </w:rPr>
  </w:style>
  <w:style w:type="character" w:customStyle="1" w:styleId="37">
    <w:name w:val="Caption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Footer Char"/>
    <w:link w:val="19"/>
    <w:qFormat/>
    <w:uiPriority w:val="99"/>
    <w:rPr>
      <w:sz w:val="18"/>
      <w:szCs w:val="18"/>
    </w:rPr>
  </w:style>
  <w:style w:type="character" w:customStyle="1" w:styleId="40">
    <w:name w:val="Heading 2 Char"/>
    <w:link w:val="3"/>
    <w:qFormat/>
    <w:uiPriority w:val="0"/>
    <w:rPr>
      <w:rFonts w:ascii="Cambria" w:hAnsi="Cambria"/>
      <w:b/>
      <w:bCs/>
      <w:sz w:val="32"/>
      <w:szCs w:val="32"/>
      <w:lang w:val="en-US" w:eastAsia="zh-CN"/>
    </w:rPr>
  </w:style>
  <w:style w:type="character" w:customStyle="1" w:styleId="41">
    <w:name w:val="Heading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Date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Plain Text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Heading 4 Char"/>
    <w:link w:val="5"/>
    <w:qFormat/>
    <w:uiPriority w:val="0"/>
    <w:rPr>
      <w:rFonts w:ascii="Times New Roman" w:hAnsi="Times New Roman"/>
      <w:b/>
      <w:sz w:val="28"/>
      <w:szCs w:val="28"/>
      <w:lang w:val="en-GB"/>
    </w:rPr>
  </w:style>
  <w:style w:type="character" w:customStyle="1" w:styleId="61">
    <w:name w:val="Heading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Body Text Indent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paragraph" w:customStyle="1" w:styleId="87">
    <w:name w:val="NO"/>
    <w:basedOn w:val="1"/>
    <w:qFormat/>
    <w:uiPriority w:val="0"/>
    <w:pPr>
      <w:keepLines/>
      <w:ind w:left="1135" w:hanging="851"/>
    </w:pPr>
  </w:style>
  <w:style w:type="paragraph" w:styleId="88">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66C804-76BD-46C7-B0BB-C3532A98E74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2061</Words>
  <Characters>11752</Characters>
  <Lines>97</Lines>
  <Paragraphs>27</Paragraphs>
  <TotalTime>4</TotalTime>
  <ScaleCrop>false</ScaleCrop>
  <LinksUpToDate>false</LinksUpToDate>
  <CharactersWithSpaces>13786</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2020-08-07T10:57:24Z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